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5"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under</w:t>
            </w:r>
            <w:r>
              <w:t xml:space="preserve"> </w:t>
            </w:r>
            <w:hyperlink r:id="rId13">
              <w:r>
                <w:rPr>
                  <w:rStyle w:val="Hyperlink"/>
                </w:rPr>
                <w:t xml:space="preserve">faithfulness</w:t>
              </w:r>
            </w:hyperlink>
            <w:r>
              <w:t xml:space="preserve">)</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4"/>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5"/>
    <w:bookmarkStart w:id="17"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(that is, under faithfulness),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6"/>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7"/>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(that is, under faithfulness) differs from 1, the causal value.</w:t>
            </w:r>
          </w:p>
          <w:bookmarkEnd w:id="18"/>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r>
              <w:t xml:space="preserve">Faithfulness 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(that is, under faithfulness)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rPr>
                <w:b/>
                <w:bCs/>
              </w:rPr>
              <w:t xml:space="preserve">Noncollapsibility</w:t>
            </w:r>
            <w:r>
              <w:t xml:space="preserve"> </w:t>
            </w:r>
            <w:r>
              <w:t xml:space="preserve">is this property.</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(under faithfulness)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(under faithfulness)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(under faithfulness)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(that is, under faithfulness),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in general (under faithfulness)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(under faithfulness)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3"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3"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2026-10-02T19:54:07Z</dcterms:created>
  <dcterms:modified xsi:type="dcterms:W3CDTF">2026-10-02T19:54:07Z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