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always equals the average of individual causal effects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t>0.5</m:t>
        </m:r>
      </m:oMath>
      <w:r>
        <w:t xml:space="preserve"> </w:t>
      </w:r>
      <w:r>
        <w:t xml:space="preserve">(true null effect). We might observe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r>
          <m:t>0.55</m:t>
        </m:r>
      </m:oMath>
      <w:r>
        <w:t xml:space="preserve"> </w:t>
      </w:r>
      <w:r>
        <w:t xml:space="preserve">and</w:t>
      </w:r>
      <w:r>
        <w:t xml:space="preserve"> </w:t>
      </w: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rPr>
            <m:sty m:val="p"/>
          </m:rPr>
          <m:t>Pr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rPr>
            <m:sty m:val="p"/>
          </m:rPr>
          <m:t>Pr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2026-09-28T23:42:03Z</dcterms:created>
  <dcterms:modified xsi:type="dcterms:W3CDTF">2026-09-28T23:42:03Z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