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4"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1"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w:t>
      </w:r>
      <w:r>
        <w:t xml:space="preserve"> </w:t>
      </w:r>
      <w:r>
        <w:rPr>
          <w:b/>
          <w:bCs/>
        </w:rPr>
        <w:t xml:space="preserve">interaction contrast</w:t>
      </w:r>
      <w:r>
        <w:t xml:space="preserve">:</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1"/>
    <w:bookmarkStart w:id="13"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r>
              <w:t xml:space="preserve">​</w:t>
            </w:r>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r>
              <w:t xml:space="preserve">​</w:t>
            </w:r>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r>
              <w:t xml:space="preserve">​</w:t>
            </w:r>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2"/>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3"/>
    <w:bookmarkEnd w:id="14"/>
    <w:bookmarkStart w:id="17"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5"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5"/>
    <w:bookmarkStart w:id="16"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6"/>
    <w:bookmarkEnd w:id="17"/>
    <w:bookmarkStart w:id="21"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8"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8"/>
    <w:bookmarkStart w:id="20"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rPr>
                  <m:nor/>
                  <m:sty m:val="p"/>
                </m:rP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r>
              <w:t xml:space="preserve">​</w:t>
            </w:r>
          </w:p>
          <w:p>
            <w:pPr>
              <w:pStyle w:val="Compact"/>
              <w:numPr>
                <w:ilvl w:val="0"/>
                <w:numId w:val="1017"/>
              </w:numPr>
            </w:pPr>
            <m:oMath>
              <m:r>
                <m:rPr>
                  <m:nor/>
                  <m:sty m:val="p"/>
                </m:rP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19"/>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0"/>
    <w:bookmarkEnd w:id="21"/>
    <w:bookmarkStart w:id="25"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sufficient-cause"/>
          <w:p>
            <w:pPr>
              <w:pStyle w:val="BodyText"/>
            </w:pPr>
            <w:r>
              <w:rPr>
                <w:b/>
                <w:bCs/>
              </w:rPr>
              <w:t xml:space="preserve">Definition 2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2"/>
        </w:tc>
      </w:tr>
    </w:tbl>
    <w:bookmarkStart w:id="24" w:name="components-of-sufficient-causes"/>
    <w:p>
      <w:pPr>
        <w:pStyle w:val="Heading3"/>
      </w:pPr>
      <w:r>
        <w:t xml:space="preserve">4.1 Components of Sufficient Causes</w:t>
      </w:r>
    </w:p>
    <w:p>
      <w:pPr>
        <w:pStyle w:val="FirstParagraph"/>
      </w:pPr>
      <w:r>
        <w:t xml:space="preserve">Each sufficient cause consists of</w:t>
      </w:r>
      <w:r>
        <w:t xml:space="preserve"> </w:t>
      </w:r>
      <w:r>
        <w:rPr>
          <w:b/>
          <w:bCs/>
        </w:rPr>
        <w:t xml:space="preserve">component causes</w:t>
      </w:r>
      <w:r>
        <w:t xml:space="preserve">—individual factors that, together, are sufficient to produce the outcome.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3"/>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4"/>
    <w:bookmarkEnd w:id="25"/>
    <w:bookmarkStart w:id="29"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sufficient-cause-interaction"/>
          <w:p>
            <w:pPr>
              <w:pStyle w:val="BodyText"/>
            </w:pPr>
            <w:r>
              <w:rPr>
                <w:b/>
                <w:bCs/>
              </w:rPr>
              <w:t xml:space="preserve">Definition 3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6"/>
        </w:tc>
      </w:tr>
    </w:tbl>
    <w:bookmarkStart w:id="28"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7"/>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28"/>
    <w:bookmarkEnd w:id="29"/>
    <w:bookmarkStart w:id="32"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0"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0"/>
    <w:bookmarkStart w:id="31"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2026-09-28T23:42:36Z</dcterms:created>
  <dcterms:modified xsi:type="dcterms:W3CDTF">2026-09-28T23:42:36Z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