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outcome—including conditioning on a descendant of such a common effect.</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p>
      <w:pPr>
        <w:numPr>
          <w:ilvl w:val="0"/>
          <w:numId w:val="1003"/>
        </w:numPr>
      </w:pPr>
      <w:r>
        <w:rPr>
          <w:b/>
          <w:bCs/>
        </w:rPr>
        <w:t xml:space="preserve">Differential loss to follow-up</w:t>
      </w:r>
      <w:r>
        <w:t xml:space="preserve"> </w:t>
      </w:r>
      <w:r>
        <w:t xml:space="preserve">(also called bias due to informative censoring): The variable</w:t>
      </w:r>
      <w:r>
        <w:t xml:space="preserve"> </w:t>
      </w:r>
      <m:oMath>
        <m:r>
          <m:t>C</m:t>
        </m:r>
      </m:oMath>
      <w:r>
        <w:t xml:space="preserve"> </w:t>
      </w:r>
      <w:r>
        <w:t xml:space="preserve">in Figures 8.3–8.6 represents censoring, and the bias is precisely as described in the previous section.</w:t>
      </w:r>
    </w:p>
    <w:p>
      <w:pPr>
        <w:numPr>
          <w:ilvl w:val="0"/>
          <w:numId w:val="1003"/>
        </w:numPr>
      </w:pPr>
      <w:r>
        <w:rPr>
          <w:b/>
          <w:bCs/>
        </w:rPr>
        <w:t xml:space="preserve">Missing data bias, nonresponse bias</w:t>
      </w:r>
      <w:r>
        <w:t xml:space="preserve">: The variable</w:t>
      </w:r>
      <w:r>
        <w:t xml:space="preserve"> </w:t>
      </w:r>
      <m:oMath>
        <m:r>
          <m:t>C</m:t>
        </m:r>
      </m:oMath>
      <w:r>
        <w:t xml:space="preserve"> </w:t>
      </w:r>
      <w:r>
        <w:t xml:space="preserve">in Figures 8.3–8.6 can represent missing data on the outcome for any reason, not just as a result of loss to follow-up. Individuals could have missing data because they are reluctant to provide information or because they miss study visits. Restricting the analysis to individuals with complete data (</w:t>
      </w:r>
      <m:oMath>
        <m:r>
          <m:t>C</m:t>
        </m:r>
        <m:r>
          <m:rPr>
            <m:sty m:val="p"/>
          </m:rPr>
          <m:t>=</m:t>
        </m:r>
        <m:r>
          <m:t>0</m:t>
        </m:r>
      </m:oMath>
      <w:r>
        <w:t xml:space="preserve">) may result in bias.</w:t>
      </w:r>
    </w:p>
    <w:p>
      <w:pPr>
        <w:numPr>
          <w:ilvl w:val="0"/>
          <w:numId w:val="1003"/>
        </w:numPr>
      </w:pPr>
      <w:r>
        <w:rPr>
          <w:b/>
          <w:bCs/>
        </w:rPr>
        <w:t xml:space="preserve">Healthy worker bias</w:t>
      </w:r>
      <w:r>
        <w:t xml:space="preserve">: Figures 8.3–8.6 can also describe a bias that 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p>
      <w:pPr>
        <w:numPr>
          <w:ilvl w:val="0"/>
          <w:numId w:val="1003"/>
        </w:numPr>
      </w:pPr>
      <w:r>
        <w:rPr>
          <w:b/>
          <w:bCs/>
        </w:rPr>
        <w:t xml:space="preserve">Self-selection bias, volunteer bias</w:t>
      </w:r>
      <w:r>
        <w:t xml:space="preserve">: Figures 8.3–8.6 can also represent a study in which</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these structures, selection bias may be present if the study is restricted to those who volunteered or elected to participate (</w:t>
      </w:r>
      <m:oMath>
        <m:r>
          <m:t>C</m:t>
        </m:r>
        <m:r>
          <m:rPr>
            <m:sty m:val="p"/>
          </m:rPr>
          <m:t>=</m:t>
        </m:r>
        <m:r>
          <m:t>0</m:t>
        </m:r>
      </m:oMath>
      <w:r>
        <w:t xml:space="preserve">).</w:t>
      </w:r>
    </w:p>
    <w:p>
      <w:pPr>
        <w:numPr>
          <w:ilvl w:val="0"/>
          <w:numId w:val="1003"/>
        </w:numPr>
      </w:pPr>
      <w:r>
        <w:rPr>
          <w:b/>
          <w:bCs/>
        </w:rPr>
        <w:t xml:space="preserve">Selection affected by treatment received before study entry</w:t>
      </w:r>
      <w:r>
        <w:t xml:space="preserve">: 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p>
      <w:pPr>
        <w:pStyle w:val="FirstParagraph"/>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17"/>
    <w:bookmarkStart w:id="2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4"/>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4"/>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18"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5"/>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5"/>
        </w:numPr>
      </w:pPr>
      <w:r>
        <w:t xml:space="preserve">Even when understanding the structure does not have implications for data analysis, it could still help study design.</w:t>
      </w:r>
    </w:p>
    <w:p>
      <w:pPr>
        <w:numPr>
          <w:ilvl w:val="0"/>
          <w:numId w:val="1005"/>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5"/>
        </w:numPr>
      </w:pPr>
      <w:r>
        <w:t xml:space="preserve">Causal diagrams enhance communication among investigators.</w:t>
      </w:r>
    </w:p>
    <w:bookmarkEnd w:id="18"/>
    <w:bookmarkStart w:id="21"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6"/>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6"/>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1"/>
    <w:bookmarkEnd w:id="22"/>
    <w:bookmarkStart w:id="24"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3"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p>
      <w:pPr>
        <w:pStyle w:val="BodyText"/>
      </w:pP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3"/>
    <w:bookmarkEnd w:id="24"/>
    <w:bookmarkStart w:id="2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25"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25"/>
    <w:bookmarkStart w:id="26"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7"/>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7"/>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26"/>
    <w:bookmarkStart w:id="27"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8"/>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8"/>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8"/>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27"/>
    <w:bookmarkStart w:id="28"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28"/>
    <w:bookmarkEnd w:id="29"/>
    <w:bookmarkStart w:id="35"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9"/>
        </w:numPr>
      </w:pPr>
      <w:r>
        <w:t xml:space="preserve">Marginally independent: the probability of receiving surgery is the same for people with and without the genetic haplotype</w:t>
      </w:r>
    </w:p>
    <w:p>
      <w:pPr>
        <w:pStyle w:val="Compact"/>
        <w:numPr>
          <w:ilvl w:val="0"/>
          <w:numId w:val="1009"/>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34"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w:t>
      </w:r>
      <w:r>
        <w:t xml:space="preserve"> </w:t>
      </w:r>
      <w:r>
        <w:rPr>
          <w:b/>
          <w:bCs/>
        </w:rPr>
        <w:t xml:space="preserve">multiplicative survival model</w:t>
      </w:r>
      <w:r>
        <w:t xml:space="preserve"> </w:t>
      </w:r>
      <w:r>
        <w:t xml:space="preserve">(see Technical Point 8.2). In other words, collider stratification is not always a source of selection bias.</w:t>
      </w:r>
    </w:p>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10"/>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0"/>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10"/>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A proof that Figure 8.13 represents a multiplicative survival model:</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34"/>
    <w:bookmarkEnd w:id="35"/>
    <w:bookmarkStart w:id="36"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1"/>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1"/>
        </w:numPr>
      </w:pPr>
      <w:r>
        <w:rPr>
          <w:b/>
          <w:bCs/>
        </w:rPr>
        <w:t xml:space="preserve">Examples</w:t>
      </w:r>
      <w:r>
        <w:t xml:space="preserve"> </w:t>
      </w:r>
      <w:r>
        <w:t xml:space="preserve">(Figures 8.3–8.6):</w:t>
      </w:r>
    </w:p>
    <w:p>
      <w:pPr>
        <w:pStyle w:val="Compact"/>
        <w:numPr>
          <w:ilvl w:val="1"/>
          <w:numId w:val="1012"/>
        </w:numPr>
      </w:pPr>
      <w:r>
        <w:t xml:space="preserve">Differential loss to follow-up and informative censoring</w:t>
      </w:r>
    </w:p>
    <w:p>
      <w:pPr>
        <w:pStyle w:val="Compact"/>
        <w:numPr>
          <w:ilvl w:val="1"/>
          <w:numId w:val="1012"/>
        </w:numPr>
      </w:pPr>
      <w:r>
        <w:t xml:space="preserve">Missing data and nonresponse bias</w:t>
      </w:r>
    </w:p>
    <w:p>
      <w:pPr>
        <w:pStyle w:val="Compact"/>
        <w:numPr>
          <w:ilvl w:val="1"/>
          <w:numId w:val="1012"/>
        </w:numPr>
      </w:pPr>
      <w:r>
        <w:t xml:space="preserve">Healthy worker bias</w:t>
      </w:r>
    </w:p>
    <w:p>
      <w:pPr>
        <w:pStyle w:val="Compact"/>
        <w:numPr>
          <w:ilvl w:val="1"/>
          <w:numId w:val="1012"/>
        </w:numPr>
      </w:pPr>
      <w:r>
        <w:t xml:space="preserve">Self-selection and volunteer bias</w:t>
      </w:r>
    </w:p>
    <w:p>
      <w:pPr>
        <w:pStyle w:val="Compact"/>
        <w:numPr>
          <w:ilvl w:val="1"/>
          <w:numId w:val="1012"/>
        </w:numPr>
      </w:pPr>
      <w:r>
        <w:t xml:space="preserve">Selection affected by pre-study treatment</w:t>
      </w:r>
    </w:p>
    <w:p>
      <w:pPr>
        <w:numPr>
          <w:ilvl w:val="0"/>
          <w:numId w:val="1011"/>
        </w:numPr>
      </w:pPr>
      <w:r>
        <w:rPr>
          <w:b/>
          <w:bCs/>
        </w:rPr>
        <w:t xml:space="preserve">Selection bias vs. confounding</w:t>
      </w:r>
      <w:r>
        <w:t xml:space="preserve">:</w:t>
      </w:r>
    </w:p>
    <w:p>
      <w:pPr>
        <w:pStyle w:val="Compact"/>
        <w:numPr>
          <w:ilvl w:val="1"/>
          <w:numId w:val="1013"/>
        </w:numPr>
      </w:pPr>
      <w:r>
        <w:t xml:space="preserve">Confounding: common causes (</w:t>
      </w:r>
      <m:oMath>
        <m:r>
          <m:t>A</m:t>
        </m:r>
        <m:r>
          <m:rPr>
            <m:sty m:val="p"/>
          </m:rPr>
          <m:t>←</m:t>
        </m:r>
        <m:r>
          <m:t>L</m:t>
        </m:r>
        <m:r>
          <m:rPr>
            <m:sty m:val="p"/>
          </m:rPr>
          <m:t>→</m:t>
        </m:r>
        <m:r>
          <m:t>Y</m:t>
        </m:r>
      </m:oMath>
      <w:r>
        <w:t xml:space="preserve">)</w:t>
      </w:r>
    </w:p>
    <w:p>
      <w:pPr>
        <w:pStyle w:val="Compact"/>
        <w:numPr>
          <w:ilvl w:val="1"/>
          <w:numId w:val="1013"/>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3"/>
        </w:numPr>
      </w:pPr>
      <w:r>
        <w:t xml:space="preserve">Randomization prevents confounding but not selection bias occurring after randomization</w:t>
      </w:r>
    </w:p>
    <w:p>
      <w:pPr>
        <w:numPr>
          <w:ilvl w:val="0"/>
          <w:numId w:val="1011"/>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1"/>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4"/>
        </w:numPr>
      </w:pPr>
      <w:r>
        <w:rPr>
          <w:b/>
          <w:bCs/>
        </w:rPr>
        <w:t xml:space="preserve">Study design</w:t>
      </w:r>
      <w:r>
        <w:t xml:space="preserve">: Minimize selection bias by maximizing follow-up and reducing loss to follow-up.</w:t>
      </w:r>
    </w:p>
    <w:p>
      <w:pPr>
        <w:numPr>
          <w:ilvl w:val="0"/>
          <w:numId w:val="1014"/>
        </w:numPr>
      </w:pPr>
      <w:r>
        <w:rPr>
          <w:b/>
          <w:bCs/>
        </w:rPr>
        <w:t xml:space="preserve">Analysis</w:t>
      </w:r>
      <w:r>
        <w:t xml:space="preserve">: Use causal diagrams (DAGs) to identify the structure of selection bias and determine appropriate adjustment methods.</w:t>
      </w:r>
    </w:p>
    <w:p>
      <w:pPr>
        <w:numPr>
          <w:ilvl w:val="0"/>
          <w:numId w:val="1014"/>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5"/>
        </w:numPr>
      </w:pPr>
      <w:r>
        <w:rPr>
          <w:b/>
          <w:bCs/>
        </w:rPr>
        <w:t xml:space="preserve">Chapter 9</w:t>
      </w:r>
      <w:r>
        <w:t xml:space="preserve">: Measurement bias</w:t>
      </w:r>
    </w:p>
    <w:p>
      <w:pPr>
        <w:pStyle w:val="Compact"/>
        <w:numPr>
          <w:ilvl w:val="0"/>
          <w:numId w:val="1015"/>
        </w:numPr>
      </w:pPr>
      <w:r>
        <w:rPr>
          <w:b/>
          <w:bCs/>
        </w:rPr>
        <w:t xml:space="preserve">Chapters 12–15</w:t>
      </w:r>
      <w:r>
        <w:t xml:space="preserve">: Advanced estimation methods including censoring and time-varying treatments</w:t>
      </w:r>
    </w:p>
    <w:bookmarkEnd w:id="36"/>
    <w:bookmarkStart w:id="40" w:name="references"/>
    <w:p>
      <w:pPr>
        <w:pStyle w:val="Heading2"/>
      </w:pPr>
      <w:r>
        <w:t xml:space="preserve">8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2026-09-28T23:43:46Z</dcterms:created>
  <dcterms:modified xsi:type="dcterms:W3CDTF">2026-09-28T23:43:46Z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