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4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r>
        <w:t xml:space="preserve">In most follow-up studies, the event of interest is not observed to happen for all, or even the majority of, individuals in the study.</w:t>
      </w:r>
      <w:r>
        <w:t xml:space="preserve"> </w:t>
      </w:r>
      <w:r>
        <w:t xml:space="preserve">This is so because most follow-up studies have a date after which there is no information on any individuals: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Individuals who do not develop the event of interest before the administrative end of follow-up have their survival time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9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9"/>
    <w:bookmarkStart w:id="13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3"/>
    <w:bookmarkEnd w:id="14"/>
    <w:bookmarkStart w:id="25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p>
      <w:pPr>
        <w:pStyle w:val="BodyText"/>
      </w:pPr>
      <w:r>
        <w:t xml:space="preserve">In the second data arrangement each row of the database corresponds to a</w:t>
      </w:r>
      <w:r>
        <w:t xml:space="preserve"> </w:t>
      </w:r>
      <w:r>
        <w:rPr>
          <w:b/>
          <w:bCs/>
        </w:rPr>
        <w:t xml:space="preserve">person-time</w:t>
      </w:r>
      <w:r>
        <w:t xml:space="preserve">.</w:t>
      </w:r>
      <w:r>
        <w:t xml:space="preserve"> </w:t>
      </w:r>
      <w:r>
        <w:t xml:space="preserve">That is, the first row contains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row the information for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the follow-up of person 1 ends.</w:t>
      </w:r>
      <w:r>
        <w:t xml:space="preserve"> </w:t>
      </w:r>
      <w:r>
        <w:t xml:space="preserve">This person-time (or</w:t>
      </w:r>
      <w:r>
        <w:t xml:space="preserve"> </w:t>
      </w:r>
      <w:r>
        <w:t xml:space="preserve">“long”</w:t>
      </w:r>
      <w:r>
        <w:t xml:space="preserve">) data format is the one we will use in most survival analyses in this chapter</w:t>
      </w:r>
      <w:r>
        <w:t xml:space="preserve"> </w:t>
      </w:r>
      <w:r>
        <w:t xml:space="preserve">and in all analyses with time-varying treatments in Part III.</w:t>
      </w:r>
      <w:r>
        <w:t xml:space="preserve"> </w:t>
      </w:r>
      <w:r>
        <w:t xml:space="preserve">In our smoking cessation example, the person-time dataset has 176,764 rows, one per person-month.</w:t>
      </w:r>
    </w:p>
    <w:bookmarkStart w:id="16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5"/>
        </w:tc>
      </w:tr>
    </w:tbl>
    <w:bookmarkEnd w:id="16"/>
    <w:bookmarkStart w:id="1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7"/>
    <w:bookmarkStart w:id="24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4"/>
    <w:bookmarkEnd w:id="25"/>
    <w:bookmarkStart w:id="29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6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6"/>
    <w:bookmarkStart w:id="27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7"/>
    <w:bookmarkStart w:id="28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28"/>
    <w:bookmarkEnd w:id="29"/>
    <w:bookmarkStart w:id="32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0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0"/>
    <w:bookmarkStart w:id="31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1"/>
    <w:bookmarkEnd w:id="32"/>
    <w:bookmarkStart w:id="35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3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3"/>
    <w:bookmarkStart w:id="34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4"/>
    <w:bookmarkEnd w:id="35"/>
    <w:bookmarkStart w:id="41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6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r>
        <w:t xml:space="preserve">We can, however, model the ratio of survival times under different treatment levels.</w:t>
      </w:r>
      <w:r>
        <w:t xml:space="preserve"> </w:t>
      </w: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the counterfactual time of survival for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Suppose the effect of treatment is the same for every individual.</w:t>
      </w:r>
      <w:r>
        <w:t xml:space="preserve"> </w:t>
      </w:r>
      <w:r>
        <w:t xml:space="preserve">We can then consider the</w:t>
      </w:r>
      <w:r>
        <w:t xml:space="preserve"> </w:t>
      </w:r>
      <w:r>
        <w:rPr>
          <w:b/>
          <w:bCs/>
        </w:rPr>
        <w:t xml:space="preserve">structural nested accelerated failure time (AFT) model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the expansion (or contraction) of each individual’s survival time attributable to treatment: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6"/>
    <w:bookmarkStart w:id="40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0"/>
    <w:bookmarkEnd w:id="41"/>
    <w:bookmarkStart w:id="4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2"/>
    <w:bookmarkStart w:id="4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5" w:name="refs"/>
    <w:bookmarkStart w:id="4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4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2026-09-28T23:45:01Z</dcterms:created>
  <dcterms:modified xsi:type="dcterms:W3CDTF">2026-09-28T23:45:01Z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