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g-null theorem of Technical Point 20.1 does,</w:t>
      </w:r>
      <w:r>
        <w:t xml:space="preserve"> </w:t>
      </w:r>
      <w:r>
        <w:t xml:space="preserve">and so does computing the mean outcome under each static strategy with the g-formula.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2026-10-02T19:59:06Z</dcterms:created>
  <dcterms:modified xsi:type="dcterms:W3CDTF">2026-10-02T19:59:06Z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