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1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a dichotomous treatment that may change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59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For simplicity the book provisionally assumes no losses to follow-up, no deaths,</w:t>
      </w:r>
      <w:r>
        <w:t xml:space="preserve"> </w:t>
      </w:r>
      <w:r>
        <w:t xml:space="preserve">and perfectly measured variables.</w:t>
      </w:r>
      <w:r>
        <w:t xml:space="preserve"> </w:t>
      </w:r>
      <w:r>
        <w:t xml:space="preserve">Time is indexed from zero (the first time of possible treatment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for compatibility with much of the published literature.</w:t>
      </w:r>
      <w:r>
        <w:t xml:space="preserve"> </w:t>
      </w:r>
      <w:r>
        <w:t xml:space="preserve">Although the example has an outcome measured at a fixed time,</w:t>
      </w:r>
      <w:r>
        <w:t xml:space="preserve"> </w:t>
      </w:r>
      <w:r>
        <w:t xml:space="preserve">the concepts carry over to time-varying and failure-time outcomes</w:t>
      </w:r>
      <w:r>
        <w:t xml:space="preserve"> </w:t>
      </w:r>
      <w:r>
        <w:t xml:space="preserve">(see Technical Point 21.8 of the book).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p>
      <w:pPr>
        <w:pStyle w:val="Compact"/>
        <w:numPr>
          <w:ilvl w:val="0"/>
          <w:numId w:val="1001"/>
        </w:numPr>
      </w:pPr>
      <w:r>
        <w:t xml:space="preserve">An individual treated in every month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individual never treated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Most individuals are treated during only part of follow-up,</w:t>
      </w:r>
      <w:r>
        <w:t xml:space="preserve"> </w:t>
      </w:r>
      <w:r>
        <w:t xml:space="preserve">so their histories mix 1s and 0s and have no compact symbol.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contrast at a single time,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quantifies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not the effect of treatment at all times between 0 and 59.</w:t>
      </w:r>
      <w:r>
        <w:t xml:space="preserve"> </w:t>
      </w:r>
      <w:r>
        <w:t xml:space="preserve">The average causal effect of a time-varying treatment must instead contrast</w:t>
      </w:r>
      <w:r>
        <w:t xml:space="preserve"> </w:t>
      </w:r>
      <w:r>
        <w:t xml:space="preserve">mean counterfactual outcomes 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 </w:t>
      </w:r>
      <w:r>
        <w:t xml:space="preserve">that specify treatment at every time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Because there are many such strategies,</w:t>
      </w:r>
      <w:r>
        <w:t xml:space="preserve"> </w:t>
      </w:r>
      <w:r>
        <w:t xml:space="preserve">the average causal effect of a time-varying treatment is</w:t>
      </w:r>
      <w:r>
        <w:t xml:space="preserve"> </w:t>
      </w:r>
      <w:r>
        <w:rPr>
          <w:b/>
          <w:bCs/>
        </w:rPr>
        <w:t xml:space="preserve">not uniquely defined</w:t>
      </w:r>
      <w:r>
        <w:t xml:space="preserve">.</w:t>
      </w:r>
    </w:p>
    <w:bookmarkEnd w:id="11"/>
    <w:bookmarkStart w:id="21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2"/>
        </w:tc>
      </w:tr>
    </w:tbl>
    <w:p>
      <w:pPr>
        <w:pStyle w:val="BodyText"/>
      </w:pPr>
      <w:r>
        <w:t xml:space="preserve">The strategies</w:t>
      </w:r>
      <w:r>
        <w:t xml:space="preserve"> </w:t>
      </w:r>
      <w:r>
        <w:t xml:space="preserve">“always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, and</w:t>
      </w:r>
      <w:r>
        <w:t xml:space="preserve"> </w:t>
      </w:r>
      <w:r>
        <w:t xml:space="preserve">“never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define one average causal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could compare</w:t>
      </w:r>
    </w:p>
    <w:p>
      <w:pPr>
        <w:pStyle w:val="Compact"/>
        <w:numPr>
          <w:ilvl w:val="0"/>
          <w:numId w:val="1002"/>
        </w:numPr>
      </w:pPr>
      <w:r>
        <w:t xml:space="preserve">“treat every other month”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, with</w:t>
      </w:r>
    </w:p>
    <w:p>
      <w:pPr>
        <w:pStyle w:val="Compact"/>
        <w:numPr>
          <w:ilvl w:val="0"/>
          <w:numId w:val="1002"/>
        </w:numPr>
      </w:pPr>
      <w:r>
        <w:t xml:space="preserve">“treat in all months except the first”</w:t>
      </w:r>
      <w:r>
        <w:t xml:space="preserve">,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static strategies,</w:t>
      </w:r>
      <w:r>
        <w:t xml:space="preserve"> </w:t>
      </w:r>
      <w:r>
        <w:t xml:space="preserve">one for each combination of values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dichotomous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These do not exhaust all strategies.</w:t>
      </w:r>
    </w:p>
    <w:p>
      <w:pPr>
        <w:pStyle w:val="BodyText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components,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vectors.</w:t>
      </w:r>
      <w:r>
        <w:t xml:space="preserve"> </w:t>
      </w: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static strategies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17" w:name="dynamic-strategies"/>
    <w:p>
      <w:pPr>
        <w:pStyle w:val="Heading3"/>
      </w:pPr>
      <w:r>
        <w:t xml:space="preserve">2.1 Dynamic Strategies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CD4 cell count (cells per microliter) measured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coded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 low (bad prognosis) 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otherwise;</w:t>
      </w:r>
      <w:r>
        <w:t xml:space="preserve"> </w:t>
      </w:r>
      <w:r>
        <w:t xml:space="preserve">everybody starts with a high count,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Consider the strategy</w:t>
      </w:r>
    </w:p>
    <w:p>
      <w:pPr>
        <w:pStyle w:val="BlockText"/>
      </w:pPr>
      <w:r>
        <w:t xml:space="preserve">do not treat while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start treatment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treat continuously after that.</w:t>
      </w:r>
    </w:p>
    <w:p>
      <w:pPr>
        <w:pStyle w:val="FirstParagraph"/>
      </w:pPr>
      <w:r>
        <w:t xml:space="preserve">This strategy cannot be written as a fixed vector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gives every individual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w:r>
        <w:t xml:space="preserve">at each time, who is treated depends on each individual’s evolving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3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17"/>
    <w:bookmarkStart w:id="20" w:name="Xc5877a99c9f8e0e27973fa027c8b973db3a21a5"/>
    <w:p>
      <w:pPr>
        <w:pStyle w:val="Heading3"/>
      </w:pPr>
      <w:r>
        <w:t xml:space="preserve">2.2 Causal Effects Require Specified Strategies</w:t>
      </w:r>
    </w:p>
    <w:p>
      <w:pPr>
        <w:pStyle w:val="FirstParagraph"/>
      </w:pPr>
      <w:r>
        <w:t xml:space="preserve">The average causal effect of a time-varying treatment is well defined</w:t>
      </w:r>
      <w:r>
        <w:t xml:space="preserve"> </w:t>
      </w:r>
      <w:r>
        <w:t xml:space="preserve">only once the strategies being compared are specified, e.g.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“treat only after the CD4 count is low”</w:t>
      </w:r>
      <w:r>
        <w:t xml:space="preserve">.</w:t>
      </w:r>
    </w:p>
    <w:p>
      <w:pPr>
        <w:pStyle w:val="FirstParagraph"/>
      </w:pPr>
      <m:oMath>
        <m:r>
          <m:t>g</m:t>
        </m:r>
      </m:oMath>
      <w:r>
        <w:t xml:space="preserve"> </w:t>
      </w:r>
      <w:r>
        <w:t xml:space="preserve">denotes any strategy, static or dynamic;</w:t>
      </w:r>
      <w:r>
        <w:t xml:space="preserve"> </w:t>
      </w:r>
      <w:r>
        <w:t xml:space="preserve">for a static strategy we sometimes write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rather than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Even with only two options (treat or not) at each time,</w:t>
      </w:r>
      <w:r>
        <w:t xml:space="preserve"> </w:t>
      </w:r>
      <w:r>
        <w:t xml:space="preserve">there are as many causal effects as there are pairs of strategies.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0"/>
    <w:bookmarkEnd w:id="21"/>
    <w:bookmarkStart w:id="26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22" w:name="Xa286af194486005a7f27c4cfa7193990b0d7aff"/>
    <w:p>
      <w:pPr>
        <w:pStyle w:val="Heading3"/>
      </w:pPr>
      <w:r>
        <w:t xml:space="preserve">3.1 Figure 19.1: Treatment Depends Only on Past Treatment</w:t>
      </w:r>
    </w:p>
    <w:p>
      <w:pPr>
        <w:pStyle w:val="FirstParagraph"/>
      </w:pPr>
      <w:r>
        <w:t xml:space="preserve">Example: each month, treatment is assigned with probability 0.5</w:t>
      </w:r>
      <w:r>
        <w:t xml:space="preserve"> </w:t>
      </w:r>
      <w:r>
        <w:t xml:space="preserve">to those untreated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with probability 1 to those 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static strategies, this is the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:</w:t>
      </w:r>
      <w:r>
        <w:t xml:space="preserve"> </w:t>
      </w:r>
      <w:r>
        <w:t xml:space="preserve">the counterfactual mean under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This equality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general extend to dynamic strategies.</w:t>
      </w:r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depends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equals the mean outcome among those who followed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if the probability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exactly 0.5 at every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which treatment under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Otherwise, identifying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requires g-methods applied to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under either Figure 19.1 or Figure 19.2.</w:t>
      </w:r>
    </w:p>
    <w:p>
      <w:r>
        <w:pict>
          <v:rect style="width:0;height:1.5pt" o:hralign="center" o:hrstd="t" o:hr="t"/>
        </w:pict>
      </w:r>
    </w:p>
    <w:bookmarkEnd w:id="22"/>
    <w:bookmarkStart w:id="24" w:name="X02e2a30b11a4cb52684b65656fa6433e25e738c"/>
    <w:p>
      <w:pPr>
        <w:pStyle w:val="Heading3"/>
      </w:pPr>
      <w:r>
        <w:t xml:space="preserve">3.2 Figure 19.2: Treatment Also Depends on Measured Covariates</w:t>
      </w:r>
    </w:p>
    <w:p>
      <w:pPr>
        <w:pStyle w:val="FirstParagraph"/>
      </w:pPr>
      <w:r>
        <w:t xml:space="preserve">Example: each month, treatment is assigned with probability</w:t>
      </w:r>
    </w:p>
    <w:p>
      <w:pPr>
        <w:pStyle w:val="Compact"/>
        <w:numPr>
          <w:ilvl w:val="0"/>
          <w:numId w:val="1006"/>
        </w:numPr>
      </w:pPr>
      <w:r>
        <w:t xml:space="preserve">0.4 to untreated individuals with high CD4 count,</w:t>
      </w:r>
    </w:p>
    <w:p>
      <w:pPr>
        <w:pStyle w:val="Compact"/>
        <w:numPr>
          <w:ilvl w:val="0"/>
          <w:numId w:val="1006"/>
        </w:numPr>
      </w:pPr>
      <w:r>
        <w:t xml:space="preserve">0.8 to untreated individuals with low CD4 count,</w:t>
      </w:r>
    </w:p>
    <w:p>
      <w:pPr>
        <w:pStyle w:val="Compact"/>
        <w:numPr>
          <w:ilvl w:val="0"/>
          <w:numId w:val="1006"/>
        </w:numPr>
      </w:pPr>
      <w:r>
        <w:t xml:space="preserve">0.5 to previously treated individuals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whatever their CD4 count.</w:t>
      </w:r>
    </w:p>
    <w:p>
      <w:pPr>
        <w:pStyle w:val="FirstParagraph"/>
      </w:pPr>
      <w:r>
        <w:t xml:space="preserve">There is confounding by measured, but not unmeasured, variables.</w:t>
      </w:r>
    </w:p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4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23"/>
        </w:tc>
      </w:tr>
    </w:tbl>
    <w:p>
      <w:pPr>
        <w:pStyle w:val="Compact"/>
        <w:numPr>
          <w:ilvl w:val="0"/>
          <w:numId w:val="1007"/>
        </w:numPr>
      </w:pPr>
      <w:r>
        <w:t xml:space="preserve">Figures 19.1 and 19.2 can represent sequentially randomized experiments.</w:t>
      </w:r>
    </w:p>
    <w:p>
      <w:pPr>
        <w:pStyle w:val="Compact"/>
        <w:numPr>
          <w:ilvl w:val="0"/>
          <w:numId w:val="1007"/>
        </w:numPr>
      </w:pPr>
      <w:r>
        <w:t xml:space="preserve">Figure 19.3 cannot: there,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partly on unmeasured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investigators cannot use to assign treatment.</w:t>
      </w:r>
    </w:p>
    <w:p>
      <w:pPr>
        <w:pStyle w:val="Compact"/>
        <w:numPr>
          <w:ilvl w:val="0"/>
          <w:numId w:val="1007"/>
        </w:numPr>
      </w:pPr>
      <w:r>
        <w:t xml:space="preserve">A sequentially randomized experiment has no arrows from unmeasured prognostic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 any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however many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there are.</w:t>
      </w:r>
    </w:p>
    <w:p>
      <w:r>
        <w:pict>
          <v:rect style="width:0;height:1.5pt" o:hralign="center" o:hrstd="t" o:hr="t"/>
        </w:pict>
      </w:r>
    </w:p>
    <w:bookmarkEnd w:id="24"/>
    <w:bookmarkStart w:id="25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only in that</w:t>
      </w:r>
      <w:r>
        <w:t xml:space="preserve"> </w:t>
      </w:r>
      <w:r>
        <w:t xml:space="preserve">the assignment probabilities are unknown (though estimable from the data).</w:t>
      </w:r>
    </w:p>
    <w:p>
      <w:pPr>
        <w:pStyle w:val="Compact"/>
        <w:numPr>
          <w:ilvl w:val="0"/>
          <w:numId w:val="1008"/>
        </w:numPr>
      </w:pPr>
      <w:r>
        <w:t xml:space="preserve">The data cannot tell us whether Figure 19.2 or Figure 19.3 is correct.</w:t>
      </w:r>
      <w:r>
        <w:t xml:space="preserve"> </w:t>
      </w:r>
      <w:r>
        <w:t xml:space="preserve">Figure 19.3 has unmeasured confounding.</w:t>
      </w:r>
    </w:p>
    <w:p>
      <w:pPr>
        <w:pStyle w:val="FirstParagraph"/>
      </w:pPr>
      <w:r>
        <w:t xml:space="preserve">Sequentially randomized experiments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treatments, which the next section states formally.</w:t>
      </w:r>
    </w:p>
    <w:bookmarkEnd w:id="25"/>
    <w:bookmarkEnd w:id="26"/>
    <w:bookmarkStart w:id="33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 two times, this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5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prior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Compact"/>
        <w:numPr>
          <w:ilvl w:val="0"/>
          <w:numId w:val="1009"/>
        </w:numPr>
      </w:pPr>
      <w:r>
        <w:t xml:space="preserve">A sequentially randomized experiment,</w:t>
      </w:r>
      <w:r>
        <w:t xml:space="preserve"> </w:t>
      </w:r>
      <w:r>
        <w:t xml:space="preserve">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randomized with probability depending only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implies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More generally, it holds in any causal graph that, like Figure 19.2,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arrows from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into treatment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So under Figure 19.2,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strategies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under Figure 19.3, for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  <w:r>
        <w:t xml:space="preserve"> </w:t>
      </w:r>
      <w:r>
        <w:t xml:space="preserve">Under other diagrams, it may be identified for some strategies but not others.</w:t>
      </w:r>
    </w:p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(Section 19.5) and some stronger (Technical Point 19.3).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28" w:name="unconditional-sequential-exchangeability"/>
    <w:p>
      <w:pPr>
        <w:pStyle w:val="Heading3"/>
      </w:pPr>
      <w:r>
        <w:t xml:space="preserve">4.1 Unconditional Sequential Exchangeability</w:t>
      </w:r>
    </w:p>
    <w:p>
      <w:pPr>
        <w:pStyle w:val="FirstParagraph"/>
      </w:pPr>
      <w:r>
        <w:t xml:space="preserve">Under Figure 19.1,</w:t>
      </w:r>
      <w:r>
        <w:t xml:space="preserve"> </w:t>
      </w:r>
      <w:r>
        <w:rPr>
          <w:b/>
          <w:bCs/>
        </w:rPr>
        <w:t xml:space="preserve">sequential unconditional exchangeability</w:t>
      </w:r>
      <w:r>
        <w:t xml:space="preserve"> </w:t>
      </w:r>
      <w:r>
        <w:t xml:space="preserve">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implies that association is causation: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 </w:t>
            </w:r>
          </w:p>
          <w:p>
            <w:pPr>
              <w:pStyle w:val="BodyText"/>
            </w:pPr>
            <w:r>
              <w:t xml:space="preserve">The positivity conditions make each conditional expectation well defined:</w:t>
            </w:r>
            <w:r>
              <w:t xml:space="preserve"> </w:t>
            </w:r>
            <w:r>
              <w:t xml:space="preserve">without them, no one in the data has the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condition on.</w:t>
            </w:r>
            <w:r>
              <w:t xml:space="preserve"> </w:t>
            </w:r>
            <w:r>
              <w:t xml:space="preserve">With more time points, repeat the middle step once 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time requiring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-diagram-with-partial-identification"/>
    <w:p>
      <w:pPr>
        <w:pStyle w:val="Heading3"/>
      </w:pPr>
      <w:r>
        <w:t xml:space="preserve">4.2 A Diagram With Partial Identification</w:t>
      </w:r>
    </w:p>
    <w:p>
      <w:pPr>
        <w:pStyle w:val="FirstParagraph"/>
      </w:pPr>
      <w:r>
        <w:t xml:space="preserve">Figure 19.4 includes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causes both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measured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e.g. an unrecorded scheduled clinic visit at time 0;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true (unknown) CD4 count,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with error.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still identified for every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identified for any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whose assignment 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Section 19.5 uses SWIGs to show why.</w:t>
      </w:r>
    </w:p>
    <w:p>
      <w:r>
        <w:pict>
          <v:rect style="width:0;height:1.5pt" o:hralign="center" o:hrstd="t" o:hr="t"/>
        </w:pict>
      </w:r>
    </w:p>
    <w:bookmarkEnd w:id="29"/>
    <w:bookmarkStart w:id="32" w:name="positivity-and-consistency"/>
    <w:p>
      <w:pPr>
        <w:pStyle w:val="Heading3"/>
      </w:pPr>
      <w:r>
        <w:t xml:space="preserve">4.3 Positivity and Consistency</w:t>
      </w:r>
    </w:p>
    <w:p>
      <w:pPr>
        <w:pStyle w:val="FirstParagraph"/>
      </w:pPr>
      <w:r>
        <w:t xml:space="preserve">Identification also needs sequential versions of positivity and consistency.</w:t>
      </w:r>
      <w:r>
        <w:t xml:space="preserve"> </w:t>
      </w:r>
      <w:r>
        <w:t xml:space="preserve">Both are expected to hold in a sequentially randomized experiment.</w:t>
      </w:r>
      <w:r>
        <w:t xml:space="preserve"> </w:t>
      </w:r>
      <w:r>
        <w:t xml:space="preserve">Under all three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</w:t>
      </w:r>
      <w:r>
        <w:t xml:space="preserve"> </w:t>
      </w:r>
      <w:r>
        <w:t xml:space="preserve">by methods that adjust appropriately for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g-formula (standardization), IP weighting, and g-estimation.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32"/>
    <w:bookmarkEnd w:id="33"/>
    <w:bookmarkStart w:id="46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of Chapter 7 generalizes to time-varying treatments.</w:t>
      </w:r>
      <w:r>
        <w:t xml:space="preserve"> </w:t>
      </w:r>
      <w:r>
        <w:t xml:space="preserve">For static strategies, a sufficient condition for identification is that,</w:t>
      </w:r>
      <w:r>
        <w:t xml:space="preserve"> </w:t>
      </w:r>
      <w:r>
        <w:rPr>
          <w:b/>
          <w:bCs/>
        </w:rPr>
        <w:t xml:space="preserve">at each time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, all backdoor paths into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that do not go through any future treatment are blocked</w:t>
      </w:r>
      <w:r>
        <w:t xml:space="preserve">.</w:t>
      </w:r>
    </w:p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34" w:name="two-simplified-diagrams"/>
    <w:p>
      <w:pPr>
        <w:pStyle w:val="Heading3"/>
      </w:pPr>
      <w:r>
        <w:t xml:space="preserve">5.1 Two Simplified Diagrams</w:t>
      </w:r>
    </w:p>
    <w:p>
      <w:pPr>
        <w:pStyle w:val="FirstParagraph"/>
      </w:pPr>
      <w:r>
        <w:t xml:space="preserve">Figures 19.5 and 19.6 simplify Figures 19.2 and 19.4:</w:t>
      </w:r>
      <w:r>
        <w:t xml:space="preserve"> </w:t>
      </w:r>
      <w:r>
        <w:t xml:space="preserve">they drop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and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Both include, among others, the arrows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They differ in one respect: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19.5</w:t>
      </w:r>
      <w:r>
        <w:t xml:space="preserve">: no shared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19.6</w:t>
      </w:r>
      <w:r>
        <w:t xml:space="preserve">: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arrows listed are those the book’s text relies on</w:t>
      </w:r>
      <w:r>
        <w:t xml:space="preserve"> </w:t>
      </w:r>
      <w:r>
        <w:t xml:space="preserve">(the backdoor paths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of Section 19.6,</w:t>
      </w:r>
      <w:r>
        <w:t xml:space="preserve"> </w:t>
      </w:r>
      <w:r>
        <w:t xml:space="preserve">and the SWIG paths of this section);</w:t>
      </w:r>
      <w:r>
        <w:t xml:space="preserve"> </w:t>
      </w:r>
      <w:r>
        <w:t xml:space="preserve">consult the book’s figures for the complete diagrams.</w:t>
      </w:r>
    </w:p>
    <w:p>
      <w:r>
        <w:pict>
          <v:rect style="width:0;height:1.5pt" o:hralign="center" o:hrstd="t" o:hr="t"/>
        </w:pict>
      </w:r>
    </w:p>
    <w:bookmarkEnd w:id="34"/>
    <w:bookmarkStart w:id="35" w:name="building-the-swig-for-a-static-strategy"/>
    <w:p>
      <w:pPr>
        <w:pStyle w:val="Heading3"/>
      </w:pPr>
      <w:r>
        <w:t xml:space="preserve">5.2 Building the SWIG for a Static Strategy</w:t>
      </w:r>
    </w:p>
    <w:p>
      <w:pPr>
        <w:pStyle w:val="FirstParagraph"/>
      </w:pPr>
      <w:r>
        <w:t xml:space="preserve">Figure 19.7 is the SWIG for Figure 19.5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e.g. </w:t>
      </w:r>
      <w:r>
        <w:t xml:space="preserve">“always treat”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w:r>
        <w:t xml:space="preserve">“never treat”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Split each treatment node.</w:t>
      </w:r>
      <w:r>
        <w:t xml:space="preserve"> </w:t>
      </w:r>
      <w:r>
        <w:t xml:space="preserve">The right half is the value set by the intervention (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);</w:t>
      </w:r>
      <w:r>
        <w:t xml:space="preserve"> </w:t>
      </w:r>
      <w:r>
        <w:t xml:space="preserve">the left half is the value that would be observed after intervening on all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treatments: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itself, 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for time 1.</w:t>
      </w:r>
    </w:p>
    <w:p>
      <w:pPr>
        <w:pStyle w:val="Compact"/>
        <w:numPr>
          <w:ilvl w:val="0"/>
          <w:numId w:val="1012"/>
        </w:numPr>
      </w:pPr>
      <w:r>
        <w:t xml:space="preserve">Arrows into a treatment point into its left half;</w:t>
      </w:r>
      <w:r>
        <w:t xml:space="preserve"> </w:t>
      </w:r>
      <w:r>
        <w:t xml:space="preserve">arrows out of a treatment leave from its right half.</w:t>
      </w:r>
    </w:p>
    <w:p>
      <w:pPr>
        <w:pStyle w:val="Compact"/>
        <w:numPr>
          <w:ilvl w:val="0"/>
          <w:numId w:val="1012"/>
        </w:numPr>
      </w:pPr>
      <w:r>
        <w:t xml:space="preserve">Replace the outcome and covariates by counterfactuals: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.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35"/>
    <w:bookmarkStart w:id="39" w:name="static-sequential-exchangeability"/>
    <w:p>
      <w:pPr>
        <w:pStyle w:val="Heading3"/>
      </w:pPr>
      <w:r>
        <w:t xml:space="preserve">5.3 Static Sequential Exchangeability</w:t>
      </w:r>
    </w:p>
    <w:p>
      <w:pPr>
        <w:pStyle w:val="FirstParagraph"/>
      </w:pPr>
      <w:r>
        <w:t xml:space="preserve">In Figure 19.7, d-separation gives, 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path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looks open,</w:t>
      </w:r>
      <w:r>
        <w:t xml:space="preserve"> </w:t>
      </w:r>
      <w:r>
        <w:t xml:space="preserve">but it is blocked: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constant in the counterfactual world,</w:t>
      </w:r>
      <w:r>
        <w:t xml:space="preserve"> </w:t>
      </w:r>
      <w:r>
        <w:t xml:space="preserve">and constants are always implicitly conditioned on (Fine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(Static sequential exchangeability)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6"/>
        </w:tc>
      </w:tr>
    </w:tbl>
    <w:p>
      <w:pPr>
        <w:pStyle w:val="Compact"/>
        <w:numPr>
          <w:ilvl w:val="0"/>
          <w:numId w:val="1014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than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w:r>
        <w:t xml:space="preserve">it concerns only counterfactual outcomes indexed by static strategies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suffices to identify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for every static strategy.</w:t>
      </w:r>
    </w:p>
    <w:p>
      <w:pPr>
        <w:pStyle w:val="Compact"/>
        <w:numPr>
          <w:ilvl w:val="0"/>
          <w:numId w:val="1014"/>
        </w:numPr>
      </w:pPr>
      <w:r>
        <w:t xml:space="preserve">It holds in Figure 19.6 too (check d-separation on its SWIG, Figure 19.8),</w:t>
      </w:r>
      <w:r>
        <w:t xml:space="preserve"> </w:t>
      </w:r>
      <w:r>
        <w:t xml:space="preserve">so under Figure 19.6 every static strategy is identified.</w:t>
      </w:r>
    </w:p>
    <w:p>
      <w:pPr>
        <w:pStyle w:val="FirstParagraph"/>
      </w:pPr>
      <w:r>
        <w:t xml:space="preserve">Two variations on Figure 19.5:</w:t>
      </w:r>
    </w:p>
    <w:p>
      <w:pPr>
        <w:pStyle w:val="Compact"/>
        <w:numPr>
          <w:ilvl w:val="0"/>
          <w:numId w:val="1015"/>
        </w:numPr>
      </w:pPr>
      <w:r>
        <w:t xml:space="preserve">Without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lack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would hold</w:t>
      </w:r>
      <w:r>
        <w:t xml:space="preserve"> </w:t>
      </w:r>
      <w:r>
        <w:t xml:space="preserve">and every static strategy could be identified without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 an added arrow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have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no form of sequential exchangeability would hold,</w:t>
      </w:r>
      <w:r>
        <w:t xml:space="preserve"> </w:t>
      </w:r>
      <w:r>
        <w:t xml:space="preserve">and no strategy would be identified.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 called</w:t>
            </w:r>
            <w:r>
              <w:t xml:space="preserve"> </w:t>
            </w:r>
            <w:r>
              <w:rPr>
                <w:b/>
                <w:bCs/>
              </w:rPr>
              <w:t xml:space="preserve">sequential exchangeability</w:t>
            </w:r>
            <w:r>
              <w:t xml:space="preserve">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m:oMath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2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Compact"/>
        <w:numPr>
          <w:ilvl w:val="0"/>
          <w:numId w:val="1017"/>
        </w:numPr>
      </w:pPr>
      <w:r>
        <w:t xml:space="preserve">The SWIG gains an arrow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that is not in the original DAG;</w:t>
      </w:r>
      <w:r>
        <w:t xml:space="preserve"> </w:t>
      </w:r>
      <w:r>
        <w:t xml:space="preserve">it exists only in the counterfactual world of this strategy.</w:t>
      </w:r>
      <w:r>
        <w:t xml:space="preserve"> </w:t>
      </w:r>
      <w:r>
        <w:t xml:space="preserve">It is drawn differently but treated like any other arrow for d-separation.</w:t>
      </w:r>
    </w:p>
    <w:p>
      <w:pPr>
        <w:pStyle w:val="Compact"/>
        <w:numPr>
          <w:ilvl w:val="0"/>
          <w:numId w:val="1017"/>
        </w:numPr>
      </w:pPr>
      <w:r>
        <w:t xml:space="preserve">The outcome node is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4" w:name="figure-19.9-versus-figure-19.10"/>
    <w:p>
      <w:pPr>
        <w:pStyle w:val="Heading3"/>
      </w:pPr>
      <w:r>
        <w:t xml:space="preserve">5.5 Figure 19.9 Versus Figure 19.10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19.9</w:t>
      </w:r>
      <w:r>
        <w:t xml:space="preserve"> </w:t>
      </w:r>
      <w:r>
        <w:t xml:space="preserve">(from Figure 19.5):</w:t>
      </w:r>
      <w:r>
        <w:t xml:space="preserve"> </w:t>
      </w:r>
      <w:r>
        <w:t xml:space="preserve">d-separation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for every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holds:</w:t>
      </w:r>
      <w:r>
        <w:t xml:space="preserve"> </w:t>
      </w:r>
      <w:r>
        <w:rPr>
          <w:b/>
          <w:bCs/>
        </w:rPr>
        <w:t xml:space="preserve">all strategies, static and dynamic, are identified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19.10</w:t>
      </w:r>
      <w:r>
        <w:t xml:space="preserve"> </w:t>
      </w:r>
      <w:r>
        <w:t xml:space="preserve">(from Figure 19.6):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fails, because of the open path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fails,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not identified for the dynamic strategy.</w:t>
      </w:r>
    </w:p>
    <w:p>
      <w:pPr>
        <w:pStyle w:val="FirstParagraph"/>
      </w:pPr>
      <w:r>
        <w:t xml:space="preserve">From the SWIG we read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which by consistency implies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is not identified because of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 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necessary for identification by the g-formula for such a strategy.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ne-last-example"/>
    <w:p>
      <w:pPr>
        <w:pStyle w:val="Heading3"/>
      </w:pPr>
      <w:r>
        <w:t xml:space="preserve">5.6 One Last Example</w:t>
      </w:r>
    </w:p>
    <w:p>
      <w:pPr>
        <w:pStyle w:val="FirstParagraph"/>
      </w:pPr>
      <w:r>
        <w:t xml:space="preserve">Figure 19.11 is Figure 19.6 plus an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19.12 is its SWIG under a static strategy).</w:t>
      </w:r>
      <w:r>
        <w:t xml:space="preserve"> </w:t>
      </w:r>
      <w:r>
        <w:t xml:space="preserve">Here neither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nor static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holds,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strategy’s effect can be validly estimated.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strategies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 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45"/>
    <w:bookmarkEnd w:id="46"/>
    <w:bookmarkStart w:id="51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form of sequential exchangeability is guaranteed in an observational study.</w:t>
      </w:r>
      <w:r>
        <w:t xml:space="preserve"> </w:t>
      </w:r>
      <w:r>
        <w:t xml:space="preserve">Approximating it requires expert knowledge</w:t>
      </w:r>
      <w:r>
        <w:t xml:space="preserve"> </w:t>
      </w:r>
      <w:r>
        <w:t xml:space="preserve">to decide which time-varying variables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measure</w:t>
      </w:r>
      <w:r>
        <w:t xml:space="preserve"> </w:t>
      </w:r>
      <w:r>
        <w:t xml:space="preserve">(in HIV: CD4 count, viral load, symptoms).</w:t>
      </w:r>
      <w:r>
        <w:t xml:space="preserve"> </w:t>
      </w:r>
      <w:r>
        <w:t xml:space="preserve">Whether the measured covariates suffice can never be known with certainty,</w:t>
      </w:r>
      <w:r>
        <w:t xml:space="preserve"> </w:t>
      </w:r>
      <w:r>
        <w:t xml:space="preserve">but causal diagrams such as Figures 19.1-19.4 organize our beliefs.</w:t>
      </w:r>
      <w:r>
        <w:t xml:space="preserve"> </w:t>
      </w: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50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In Figure 19.5, consider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the cause</w:t>
      </w:r>
      <w:r>
        <w:t xml:space="preserve"> </w:t>
      </w:r>
      <m:oMath>
        <m:r>
          <m:t>U</m:t>
        </m:r>
      </m:oMath>
      <w:r>
        <w:t xml:space="preserve">: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open, so there is confounding.</w:t>
      </w:r>
    </w:p>
    <w:p>
      <w:pPr>
        <w:pStyle w:val="Compact"/>
        <w:numPr>
          <w:ilvl w:val="0"/>
          <w:numId w:val="1020"/>
        </w:numPr>
      </w:pPr>
      <m:oMath>
        <m:r>
          <m:t>U</m:t>
        </m:r>
      </m:oMath>
      <w:r>
        <w:t xml:space="preserve"> </w:t>
      </w:r>
      <w:r>
        <w:t xml:space="preserve">is unmeasured, but conditioning on the measured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blocks the path.</w:t>
      </w:r>
    </w:p>
    <w:p>
      <w:pPr>
        <w:pStyle w:val="Compact"/>
        <w:numPr>
          <w:ilvl w:val="0"/>
          <w:numId w:val="1020"/>
        </w:numPr>
      </w:pPr>
      <w:r>
        <w:t xml:space="preserve">So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measured, there is no unmeasured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we call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that effect,</w:t>
      </w:r>
      <w:r>
        <w:t xml:space="preserve"> </w:t>
      </w:r>
      <w:r>
        <w:t xml:space="preserve">even though the actual common cause 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(see Section 7.3)</w:t>
      </w:r>
      <w:r>
        <w:t xml:space="preserve"> </w:t>
      </w:r>
      <w:r>
        <w:t xml:space="preserve">and even though there is no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a collider, opens a second backdoor path,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That path can be blocked by also conditioning on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if it is available.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7 (Time-varying confounders)</w:t>
            </w:r>
            <w:r>
              <w:t xml:space="preserve"> </w:t>
            </w:r>
            <w:r>
              <w:t xml:space="preserve">Consider the long diagram over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 each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later treatments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and shares unmeasured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estimate the effects of strategies defined by interventions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needed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covariates in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then called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47"/>
        </w:tc>
      </w:tr>
    </w:tbl>
    <w:p>
      <w:pPr>
        <w:pStyle w:val="Compact"/>
        <w:numPr>
          <w:ilvl w:val="0"/>
          <w:numId w:val="1021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1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We cannot empirically tell Figure 19.2 (no unmeasured confounding)</w:t>
      </w:r>
      <w:r>
        <w:t xml:space="preserve"> </w:t>
      </w:r>
      <w:r>
        <w:t xml:space="preserve">from Figure 19.3 (unmeasured confounding).</w:t>
      </w:r>
    </w:p>
    <w:p>
      <w:pPr>
        <w:pStyle w:val="Compact"/>
        <w:numPr>
          <w:ilvl w:val="0"/>
          <w:numId w:val="1021"/>
        </w:numPr>
      </w:pPr>
      <w:r>
        <w:t xml:space="preserve">Even with all confounders measured and modeled correctly,</w:t>
      </w:r>
      <w:r>
        <w:t xml:space="preserve"> </w:t>
      </w:r>
      <w:r>
        <w:t xml:space="preserve">most adjustment methods can give biased comparisons of strategies;</w:t>
      </w:r>
      <w:r>
        <w:t xml:space="preserve"> </w:t>
      </w:r>
      <w:r>
        <w:t xml:space="preserve">Chapter 20 explains why g-methods are needed.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fail, as in Figure 19.3, 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 unconditional sequential exchangeability,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p>
      <w:pPr>
        <w:pStyle w:val="BodyText"/>
      </w:pPr>
      <w:r>
        <w:t xml:space="preserve">Note what the chapter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require:</w:t>
      </w:r>
      <w:r>
        <w:t xml:space="preserve"> </w:t>
      </w:r>
      <w:r>
        <w:t xml:space="preserve">a time-varying confounder here is simply a covariate needed to block backdoor paths at some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Whether that covariate is also</w:t>
      </w:r>
      <w:r>
        <w:t xml:space="preserve"> </w:t>
      </w:r>
      <w:r>
        <w:rPr>
          <w:i/>
          <w:iCs/>
        </w:rPr>
        <w:t xml:space="preserve">affected by earlier treatment</w:t>
      </w:r>
      <w:r>
        <w:t xml:space="preserve"> </w:t>
      </w:r>
      <w:r>
        <w:t xml:space="preserve">(treatment-confounder feedback) is the subject of Chapter 20,</w:t>
      </w:r>
      <w:r>
        <w:t xml:space="preserve"> </w:t>
      </w:r>
      <w:r>
        <w:t xml:space="preserve">and it is that feedback that makes conventional adjustment fail.</w:t>
      </w:r>
    </w:p>
    <w:bookmarkEnd w:id="50"/>
    <w:bookmarkEnd w:id="51"/>
    <w:bookmarkStart w:id="5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3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3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this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Identification needs sequential exchangeability, sequential positivity, and consistency.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is weaker 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fail to adjust for them.</w:t>
      </w:r>
    </w:p>
    <w:bookmarkEnd w:id="52"/>
    <w:bookmarkStart w:id="5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5" w:name="refs"/>
    <w:bookmarkStart w:id="5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3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2026-10-02T17:49:20Z</dcterms:created>
  <dcterms:modified xsi:type="dcterms:W3CDTF">2026-10-02T17:49:20Z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