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15: Outcome Regression and Propensity Scores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This chapter covers</w:t>
      </w:r>
      <w:r>
        <w:t xml:space="preserve"> </w:t>
      </w:r>
      <w:r>
        <w:rPr>
          <w:b/>
          <w:bCs/>
        </w:rPr>
        <w:t xml:space="preserve">outcome regression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propensity score</w:t>
      </w:r>
      <w:r>
        <w:t xml:space="preserve"> </w:t>
      </w:r>
      <w:r>
        <w:t xml:space="preserve">methods (stratification, standardization, and matching on the propensity score): the most commonly used parametric methods for causal inference.</w:t>
      </w:r>
      <w:r>
        <w:t xml:space="preserve"> </w:t>
      </w:r>
      <w:r>
        <w:t xml:space="preserve">They work well for treatments fixed at a single time,</w:t>
      </w:r>
      <w:r>
        <w:t xml:space="preserve"> </w:t>
      </w:r>
      <w:r>
        <w:t xml:space="preserve">but they are not designed for the complexities of time-varying treatments,</w:t>
      </w:r>
      <w:r>
        <w:t xml:space="preserve"> </w:t>
      </w:r>
      <w:r>
        <w:t xml:space="preserve">which is why the book presents them only after the g-methods.</w:t>
      </w:r>
    </w:p>
    <w:p>
      <w:pPr>
        <w:pStyle w:val="BodyText"/>
      </w:pPr>
      <w:r>
        <w:t xml:space="preserve">This chapter is based on</w:t>
      </w:r>
      <w:r>
        <w:t xml:space="preserve"> </w:t>
      </w:r>
      <w:r>
        <w:t xml:space="preserve">Hernán and Robins (2020, chap. 15, pp. 199-208)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Key theme</w:t>
      </w:r>
      <w:r>
        <w:t xml:space="preserve">: outcome regression and propensity score methods need the same identifying conditions as every other method (exchangeability, positivity, and consistency / well-defined interventions), plus correct models for their nuisance parameters.</w:t>
      </w:r>
      <w:r>
        <w:t xml:space="preserve"> </w:t>
      </w:r>
      <w:r>
        <w:t xml:space="preserve">Unlike the g-methods of Chapters 12-14, they have limited applicability to complex longitudinal data</w:t>
      </w:r>
      <w:r>
        <w:t xml:space="preserve"> </w:t>
      </w:r>
      <w:r>
        <w:t xml:space="preserve">(Hernán and Robins 2020, 199)</w:t>
      </w:r>
      <w:r>
        <w:t xml:space="preserve">.</w:t>
      </w:r>
    </w:p>
    <w:bookmarkStart w:id="17" w:name="outcome-regression-pp.-199-201"/>
    <w:p>
      <w:pPr>
        <w:pStyle w:val="Heading2"/>
      </w:pPr>
      <w:r>
        <w:t xml:space="preserve">1 15.1 Outcome Regression (pp. 199-201)</w:t>
      </w:r>
    </w:p>
    <w:p>
      <w:r>
        <w:pict>
          <v:rect style="width:0;height:1.5pt" o:hralign="center" o:hrstd="t" o:hr="t"/>
        </w:pict>
      </w:r>
    </w:p>
    <w:bookmarkStart w:id="9" w:name="a-structural-model-with-parameters-for-l"/>
    <w:p>
      <w:pPr>
        <w:pStyle w:val="Heading3"/>
      </w:pPr>
      <w:r>
        <w:t xml:space="preserve">1.1 A Structural Model with Parameters for</w:t>
      </w:r>
      <w:r>
        <w:t xml:space="preserve"> </w:t>
      </w:r>
      <m:oMath>
        <m:r>
          <m:t>L</m:t>
        </m:r>
      </m:oMath>
    </w:p>
    <w:p>
      <w:pPr>
        <w:pStyle w:val="FirstParagraph"/>
      </w:pPr>
      <w:r>
        <w:t xml:space="preserve">Structural nested models (Chapter 14) contain parameters 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for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L</m:t>
        </m:r>
      </m:oMath>
      <w:r>
        <w:t xml:space="preserve"> </w:t>
      </w:r>
      <w:r>
        <w:t xml:space="preserve">product terms only,</w:t>
      </w:r>
      <w:r>
        <w:t xml:space="preserve"> </w:t>
      </w:r>
      <w:r>
        <w:t xml:space="preserve">so g-estimation is agnostic about the</w:t>
      </w:r>
      <w:r>
        <w:t xml:space="preserve"> </w:t>
      </w:r>
      <m:oMath>
        <m:r>
          <m:t>L</m:t>
        </m:r>
      </m:oMath>
      <w:r>
        <w:t xml:space="preserve">-</w:t>
      </w:r>
      <m:oMath>
        <m:r>
          <m:t>Y</m:t>
        </m:r>
      </m:oMath>
      <w:r>
        <w:t xml:space="preserve"> </w:t>
      </w:r>
      <w:r>
        <w:t xml:space="preserve">relation.</w:t>
      </w:r>
      <w:r>
        <w:t xml:space="preserve"> </w:t>
      </w:r>
      <w:r>
        <w:t xml:space="preserve">If instead we are willing to specify the</w:t>
      </w:r>
      <w:r>
        <w:t xml:space="preserve"> </w:t>
      </w:r>
      <m:oMath>
        <m:r>
          <m:t>L</m:t>
        </m:r>
      </m:oMath>
      <w:r>
        <w:t xml:space="preserve">-</w:t>
      </w:r>
      <m:oMath>
        <m:r>
          <m:t>Y</m:t>
        </m:r>
      </m:oMath>
      <w:r>
        <w:t xml:space="preserve"> </w:t>
      </w:r>
      <w:r>
        <w:t xml:space="preserve">relation within levels of</w:t>
      </w:r>
      <w:r>
        <w:t xml:space="preserve"> </w:t>
      </w:r>
      <m:oMath>
        <m:r>
          <m:t>A</m:t>
        </m:r>
      </m:oMath>
      <w:r>
        <w:t xml:space="preserve">, we can use the structural model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∣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1</m:t>
              </m:r>
            </m:sub>
          </m:sSub>
          <m:r>
            <m:t>a</m:t>
          </m:r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2</m:t>
              </m:r>
            </m:sub>
          </m:sSub>
          <m:r>
            <m:t>a</m:t>
          </m:r>
          <m:r>
            <m:t>L</m:t>
          </m:r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3</m:t>
              </m:r>
            </m:sub>
          </m:sSub>
          <m:r>
            <m:t>L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are vector parameters.</w:t>
      </w:r>
    </w:p>
    <w:p>
      <w:pPr>
        <w:pStyle w:val="BodyText"/>
      </w:pPr>
      <w:r>
        <w:t xml:space="preserve">In Chapter 12 this model was called a</w:t>
      </w:r>
      <w:r>
        <w:t xml:space="preserve"> </w:t>
      </w:r>
      <w:r>
        <w:rPr>
          <w:b/>
          <w:bCs/>
        </w:rPr>
        <w:t xml:space="preserve">faux marginal structural model</w:t>
      </w:r>
      <w:r>
        <w:t xml:space="preserve">: it has the form of a marginal structural model,</w:t>
      </w:r>
      <w:r>
        <w:t xml:space="preserve"> </w:t>
      </w:r>
      <w:r>
        <w:t xml:space="preserve">but because it conditions on the entire vector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(not a subset</w:t>
      </w:r>
      <w:r>
        <w:t xml:space="preserve"> </w:t>
      </w:r>
      <m:oMath>
        <m:r>
          <m:t>V</m:t>
        </m:r>
      </m:oMath>
      <w:r>
        <w:t xml:space="preserve">),</w:t>
      </w:r>
      <w:r>
        <w:t xml:space="preserve"> </w:t>
      </w:r>
      <w:r>
        <w:t xml:space="preserve">the stabilized IP weights</w:t>
      </w:r>
      <w:r>
        <w:t xml:space="preserve"> </w:t>
      </w:r>
      <m:oMath>
        <m:r>
          <m:t>S</m:t>
        </m:r>
        <m:sSup>
          <m:e>
            <m:r>
              <m:t>W</m:t>
            </m:r>
          </m:e>
          <m:sup>
            <m:r>
              <m:t>A</m:t>
            </m:r>
          </m:sup>
        </m:sSup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all equal 1 and no weighting is needed</w:t>
      </w:r>
      <w:r>
        <w:t xml:space="preserve"> </w:t>
      </w:r>
      <w:r>
        <w:t xml:space="preserve">(Hernán and Robins 2020, 199)</w:t>
      </w:r>
      <w:r>
        <w:t xml:space="preserve">.</w:t>
      </w:r>
    </w:p>
    <w:p>
      <w:pPr>
        <w:pStyle w:val="BodyText"/>
      </w:pPr>
      <m:oMath>
        <m:sSub>
          <m:e>
            <m:r>
              <m:t>β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is often called the</w:t>
      </w:r>
      <w:r>
        <w:t xml:space="preserve"> </w:t>
      </w:r>
      <w:r>
        <w:t xml:space="preserve">“main effect”</w:t>
      </w:r>
      <w:r>
        <w:t xml:space="preserve"> </w:t>
      </w:r>
      <w:r>
        <w:t xml:space="preserve">of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but it need not have a causal interpretation (the</w:t>
      </w:r>
      <w:r>
        <w:t xml:space="preserve"> </w:t>
      </w:r>
      <m:oMath>
        <m:r>
          <m:t>L</m:t>
        </m:r>
      </m:oMath>
      <w:r>
        <w:t xml:space="preserve">-</w:t>
      </w:r>
      <m:oMath>
        <m:r>
          <m:t>Y</m:t>
        </m:r>
      </m:oMath>
      <w:r>
        <w:t xml:space="preserve"> </w:t>
      </w:r>
      <w:r>
        <w:t xml:space="preserve">relation may itself be confounded);</w:t>
      </w:r>
      <w:r>
        <w:t xml:space="preserve"> </w:t>
      </w:r>
      <w:r>
        <w:t xml:space="preserve">it only describes how the mean of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 </w:t>
      </w:r>
      <w:r>
        <w:t xml:space="preserve">varies with</w:t>
      </w:r>
      <w:r>
        <w:t xml:space="preserve"> </w:t>
      </w:r>
      <m:oMath>
        <m:r>
          <m:t>L</m:t>
        </m:r>
      </m:oMath>
      <w:r>
        <w:t xml:space="preserve">.</w:t>
      </w:r>
    </w:p>
    <w:p>
      <w:r>
        <w:pict>
          <v:rect style="width:0;height:1.5pt" o:hralign="center" o:hrstd="t" o:hr="t"/>
        </w:pict>
      </w:r>
    </w:p>
    <w:bookmarkEnd w:id="9"/>
    <w:bookmarkStart w:id="11" w:name="X911e20a25d3cfcdd817af0b820ed7f483eb5800"/>
    <w:p>
      <w:pPr>
        <w:pStyle w:val="Heading3"/>
      </w:pPr>
      <w:r>
        <w:t xml:space="preserve">1.2 Conditional Effects from the Structural Model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0" w:name="prp-conditional-effect"/>
          <w:p>
            <w:pPr>
              <w:pStyle w:val="BodyText"/>
            </w:pPr>
            <w:r>
              <w:rPr>
                <w:b/>
                <w:bCs/>
              </w:rPr>
              <w:t xml:space="preserve">Proposition 1 (Stratum-Specific Effect)</w:t>
            </w:r>
            <w:r>
              <w:t xml:space="preserve"> </w:t>
            </w:r>
            <w:r>
              <w:t xml:space="preserve">Under the structural model, the average causal effect in stratum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t>l</m:t>
              </m:r>
            </m:oMath>
            <w:r>
              <w:t xml:space="preserve">.</w:t>
            </w:r>
          </w:p>
          <w:bookmarkEnd w:id="10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Evaluate the model at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and subtract: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t>&amp;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c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l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c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l</m:t>
                        </m:r>
                      </m:e>
                    </m:d>
                    <m:r>
                      <m:t>​</m:t>
                    </m:r>
                  </m:e>
                  <m:e>
                    <m:r>
                      <m:t>&amp;</m:t>
                    </m:r>
                    <m:r>
                      <m:t> 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l</m:t>
                    </m:r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3</m:t>
                        </m:r>
                      </m:sub>
                    </m:sSub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l</m:t>
                    </m:r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3</m:t>
                        </m:r>
                      </m:sub>
                    </m:sSub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t> 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t>l</m:t>
                    </m:r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3</m:t>
                        </m:r>
                      </m:sub>
                    </m:sSub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3</m:t>
                        </m:r>
                      </m:sub>
                    </m:sSub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t> </m:t>
                    </m:r>
                    <m:r>
                      <m:rPr>
                        <m:sty m:val="p"/>
                      </m:rPr>
                      <m:t>=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t>l</m:t>
                    </m:r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/>
        </w:tc>
      </w:tr>
    </w:tbl>
    <w:p>
      <w:pPr>
        <w:pStyle w:val="FirstParagraph"/>
      </w:pPr>
      <w:r>
        <w:t xml:space="preserve">So the stratum-specific effects depend only 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counterfactual means under no treatment depend 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r>
        <w:pict>
          <v:rect style="width:0;height:1.5pt" o:hralign="center" o:hrstd="t" o:hr="t"/>
        </w:pict>
      </w:r>
    </w:p>
    <w:bookmarkEnd w:id="11"/>
    <w:bookmarkStart w:id="16" w:name="Xd85d0e9745904ed6dc561fabc44b0af07d7fc3e"/>
    <w:p>
      <w:pPr>
        <w:pStyle w:val="Heading3"/>
      </w:pPr>
      <w:r>
        <w:t xml:space="preserve">1.3 Estimating the Structural Model by Outcome Regression</w:t>
      </w:r>
    </w:p>
    <w:p>
      <w:pPr>
        <w:pStyle w:val="FirstParagraph"/>
      </w:pPr>
      <w:r>
        <w:t xml:space="preserve">Under exchangeability, positivity, and well-defined interventions,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 the structural parameters can be estimated by ordinary least squares, fitting the outcome regression model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t>α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α</m:t>
              </m:r>
            </m:e>
            <m:sub>
              <m:r>
                <m:t>1</m:t>
              </m:r>
            </m:sub>
          </m:sSub>
          <m:r>
            <m:t>A</m:t>
          </m:r>
          <m:r>
            <m:rPr>
              <m:sty m:val="p"/>
            </m:rPr>
            <m:t>+</m:t>
          </m:r>
          <m:sSub>
            <m:e>
              <m:r>
                <m:t>α</m:t>
              </m:r>
            </m:e>
            <m:sub>
              <m:r>
                <m:t>2</m:t>
              </m:r>
            </m:sub>
          </m:sSub>
          <m:r>
            <m:t>A</m:t>
          </m:r>
          <m:r>
            <m:t>L</m:t>
          </m:r>
          <m:r>
            <m:rPr>
              <m:sty m:val="p"/>
            </m:rPr>
            <m:t>+</m:t>
          </m:r>
          <m:sSub>
            <m:e>
              <m:r>
                <m:t>α</m:t>
              </m:r>
            </m:e>
            <m:sub>
              <m:r>
                <m:t>3</m:t>
              </m:r>
            </m:sub>
          </m:sSub>
          <m:r>
            <m:t>L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suffices to adjust for confounding and selection bias and the outcome model is correctly specified, then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β</m:t>
        </m:r>
      </m:oMath>
      <w:r>
        <w:t xml:space="preserve">.</w:t>
      </w:r>
    </w:p>
    <w:p>
      <w:pPr>
        <w:pStyle w:val="BodyText"/>
      </w:pPr>
      <w:r>
        <w:t xml:space="preserve">Like stratification (Chapter 3), outcome regression adjusts for confounding by estimating the effect</w:t>
      </w:r>
      <w:r>
        <w:t xml:space="preserve"> </w:t>
      </w:r>
      <w:r>
        <w:rPr>
          <w:b/>
          <w:bCs/>
        </w:rPr>
        <w:t xml:space="preserve">within strata of</w:t>
      </w:r>
      <w:r>
        <w:rPr>
          <w:b/>
          <w:bCs/>
        </w:rPr>
        <w:t xml:space="preserve"> </w:t>
      </w:r>
      <m:oMath>
        <m:r>
          <m:t>L</m:t>
        </m:r>
      </m:oMath>
      <w:r>
        <w:t xml:space="preserve">.</w:t>
      </w:r>
      <w:r>
        <w:t xml:space="preserve"> </w:t>
      </w:r>
      <w:r>
        <w:t xml:space="preserve">In Section 13.2, the outcome regression was an intermediate step toward a standardized (marginal) mean;</w:t>
      </w:r>
      <w:r>
        <w:t xml:space="preserve"> </w:t>
      </w:r>
      <w:r>
        <w:t xml:space="preserve">here the regression is the end of the procedure:</w:t>
      </w:r>
      <w:r>
        <w:t xml:space="preserve"> </w:t>
      </w:r>
      <w:r>
        <w:t xml:space="preserve">we compare conditional means instead of standardizing them</w:t>
      </w:r>
      <w:r>
        <w:t xml:space="preserve"> </w:t>
      </w:r>
      <w:r>
        <w:t xml:space="preserve">(Hernán and Robins 2020, 200)</w:t>
      </w:r>
      <w:r>
        <w:t xml:space="preserve">.</w:t>
      </w:r>
    </w:p>
    <w:p>
      <w:pPr>
        <w:pStyle w:val="BodyText"/>
      </w:pPr>
      <w:r>
        <w:t xml:space="preserve">The same approach works for discrete outcomes, e.g., a logistic model for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]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dichotomous.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2" w:name="exm-nhefs-outcome-regression"/>
          <w:p>
            <w:pPr>
              <w:pStyle w:val="BodyText"/>
            </w:pPr>
            <w:r>
              <w:rPr>
                <w:b/>
                <w:bCs/>
              </w:rPr>
              <w:t xml:space="preserve">Example 1 (Smoking Cessation and Weight Gain (NHEFS))</w:t>
            </w:r>
            <w:r>
              <w:t xml:space="preserve"> </w:t>
            </w:r>
            <w:r>
              <w:t xml:space="preserve">Using the outcome model of Section 13.2, which has a single product term (between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 smoking intensity),</w:t>
            </w:r>
            <w:r>
              <w:t xml:space="preserve"> </w:t>
            </w:r>
            <w:r>
              <w:t xml:space="preserve">the book reports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2.6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0.05</m:t>
              </m:r>
            </m:oMath>
            <w:r>
              <w:t xml:space="preserve"> </w:t>
            </w:r>
            <w:r>
              <w:t xml:space="preserve">(Hernán and Robins 2020, 200)</w:t>
            </w:r>
            <w:r>
              <w:t xml:space="preserve">.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Estimated effect</w:t>
            </w:r>
            <w:r>
              <w:t xml:space="preserve"> </w:t>
            </w:r>
            <m:oMath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</m:e>
              </m:d>
              <m:r>
                <m:t>​</m:t>
              </m:r>
            </m:oMath>
            <w:r>
              <w:t xml:space="preserve">:</w:t>
            </w:r>
            <w:r>
              <w:t xml:space="preserve"> </w:t>
            </w:r>
            <w:r>
              <w:t xml:space="preserve">2.8 kg (95% CI: 1.5, 4.1) for those smoking 5 cigarettes/day;</w:t>
            </w:r>
            <w:r>
              <w:t xml:space="preserve"> </w:t>
            </w:r>
            <w:r>
              <w:t xml:space="preserve">4.4 kg (95% CI: 2.8, 6.1) for those smoking 40 cigarettes/day.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Model with</w:t>
            </w:r>
            <w:r>
              <w:t xml:space="preserve"> </w:t>
            </w:r>
            <w:r>
              <w:rPr>
                <w:b/>
                <w:bCs/>
              </w:rPr>
              <w:t xml:space="preserve">no</w:t>
            </w:r>
            <w:r>
              <w:t xml:space="preserve"> </w:t>
            </w:r>
            <w:r>
              <w:t xml:space="preserve">product terms (assumes no effect modification by any variable in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):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3.5</m:t>
              </m:r>
            </m:oMath>
            <w:r>
              <w:t xml:space="preserve"> </w:t>
            </w:r>
            <w:r>
              <w:t xml:space="preserve">kg (95% CI: 2.6, 4.3), which then estimates both the conditional and the marginal effect.</w:t>
            </w:r>
          </w:p>
          <w:bookmarkEnd w:id="12"/>
        </w:tc>
      </w:tr>
    </w:tbl>
    <w:p>
      <w:pPr>
        <w:pStyle w:val="FirstParagraph"/>
      </w:pPr>
      <w:r>
        <w:t xml:space="preserve">By</w:t>
      </w:r>
      <w:r>
        <w:t xml:space="preserve"> </w:t>
      </w:r>
      <w:hyperlink w:anchor="prp-conditional-effect">
        <w:r>
          <w:rPr>
            <w:rStyle w:val="Hyperlink"/>
          </w:rPr>
          <w:t xml:space="preserve">Proposition 1</w:t>
        </w:r>
      </w:hyperlink>
      <w:r>
        <w:t xml:space="preserve">, each stratum-specific estimate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×</m:t>
        </m:r>
        <m:r>
          <m:rPr>
            <m:sty m:val="p"/>
          </m:rPr>
          <m:t>(</m:t>
        </m:r>
        <m:r>
          <m:rPr>
            <m:nor/>
            <m:sty m:val="p"/>
          </m:rPr>
          <m:t>cigarettes/day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book reports the coefficients rounded to one or two decimals,</w:t>
      </w:r>
      <w:r>
        <w:t xml:space="preserve"> </w:t>
      </w:r>
      <w:r>
        <w:t xml:space="preserve">so plugging the rounded values into that formula reproduces the reported effect estimates only approximately</w:t>
      </w:r>
      <w:r>
        <w:t xml:space="preserve"> </w:t>
      </w:r>
      <w:r>
        <w:t xml:space="preserve">(e.g.,</w:t>
      </w:r>
      <w:r>
        <w:t xml:space="preserve"> </w:t>
      </w:r>
      <m:oMath>
        <m:r>
          <m:t>2.6</m:t>
        </m:r>
        <m:r>
          <m:rPr>
            <m:sty m:val="p"/>
          </m:rPr>
          <m:t>+</m:t>
        </m:r>
        <m:r>
          <m:t>0.05</m:t>
        </m:r>
        <m:r>
          <m:rPr>
            <m:sty m:val="p"/>
          </m:rPr>
          <m:t>×</m:t>
        </m:r>
        <m:r>
          <m:t>40</m:t>
        </m:r>
        <m:r>
          <m:rPr>
            <m:sty m:val="p"/>
          </m:rPr>
          <m:t>=</m:t>
        </m:r>
        <m:r>
          <m:t>4.6</m:t>
        </m:r>
      </m:oMath>
      <w:r>
        <w:t xml:space="preserve"> </w:t>
      </w:r>
      <w:r>
        <w:t xml:space="preserve">versus the reported 4.4).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15.1: Nuisance Parameters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02"/>
              </w:numPr>
            </w:pPr>
            <w:r>
              <w:rPr>
                <w:b/>
                <w:bCs/>
              </w:rPr>
              <w:t xml:space="preserve">Outcome regression</w:t>
            </w:r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: consistent (in general) only if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3</m:t>
                  </m:r>
                </m:sub>
              </m:sSub>
              <m:r>
                <m:t>L</m:t>
              </m:r>
            </m:oMath>
            <w:r>
              <w:t xml:space="preserve"> </w:t>
            </w:r>
            <w:r>
              <w:t xml:space="preserve">correctly models how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L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depends on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nuisance parameters are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3</m:t>
                  </m:r>
                </m:sub>
              </m:sSub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rPr>
                <w:b/>
                <w:bCs/>
              </w:rPr>
              <w:t xml:space="preserve">G-estimation</w:t>
            </w:r>
            <w:r>
              <w:t xml:space="preserve"> </w:t>
            </w:r>
            <w:r>
              <w:t xml:space="preserve">of the structural nested model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L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t>a</m:t>
              </m:r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t>a</m:t>
              </m:r>
              <m:r>
                <m:t>L</m:t>
              </m:r>
            </m:oMath>
            <w:r>
              <w:t xml:space="preserve">:</w:t>
            </w:r>
            <w:r>
              <w:t xml:space="preserve"> </w:t>
            </w:r>
            <w:r>
              <w:t xml:space="preserve">consistent (in general) only if the treatment model for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is correct.</w:t>
            </w:r>
            <w:r>
              <w:t xml:space="preserve"> </w:t>
            </w:r>
            <w:r>
              <w:t xml:space="preserve">The nuisance parameters are those of the treatment model, e.g.,</w:t>
            </w:r>
            <w:r>
              <w:t xml:space="preserve"> </w:t>
            </w:r>
            <m:oMath>
              <m:sSub>
                <m:e>
                  <m:r>
                    <m:t>α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in</w:t>
            </w:r>
            <w:r>
              <w:t xml:space="preserve"> </w:t>
            </w:r>
            <m:oMath>
              <m:r>
                <m:rPr>
                  <m:sty m:val="p"/>
                </m:rPr>
                <m:t>logit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sSub>
                <m:e>
                  <m:r>
                    <m:t>α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  <m:r>
                <m:t>L</m:t>
              </m:r>
            </m:oMath>
            <w:r>
              <w:t xml:space="preserve">.</w:t>
            </w:r>
          </w:p>
          <w:p>
            <w:pPr>
              <w:pStyle w:val="FirstParagraph"/>
            </w:pPr>
            <w:r>
              <w:t xml:space="preserve">Example: if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should enter as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3</m:t>
                  </m:r>
                </m:sub>
              </m:sSub>
              <m:r>
                <m:t>L</m:t>
              </m:r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4</m:t>
                  </m:r>
                </m:sub>
              </m:sSub>
              <m:sSup>
                <m:e>
                  <m:r>
                    <m:t>L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but is modeled as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3</m:t>
                  </m:r>
                </m:sub>
              </m:sSub>
              <m:r>
                <m:t>L</m:t>
              </m:r>
            </m:oMath>
            <w:r>
              <w:t xml:space="preserve"> </w:t>
            </w:r>
            <w:r>
              <w:t xml:space="preserve">only, outcome regression is biased;</w:t>
            </w:r>
            <w:r>
              <w:t xml:space="preserve"> </w:t>
            </w:r>
            <w:r>
              <w:t xml:space="preserve">g-estimation is unaffected by that error but is biased if the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-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relation is misspecified.</w:t>
            </w:r>
            <w:r>
              <w:t xml:space="preserve"> </w:t>
            </w:r>
            <w:r>
              <w:t xml:space="preserve">For a time-fixed treatment, choosing between the two amounts to deciding which nuisance model we can specify more accurately.</w:t>
            </w:r>
            <w:r>
              <w:t xml:space="preserve"> </w:t>
            </w:r>
            <w:r>
              <w:t xml:space="preserve">When possible, a better option is a doubly robust method (Fine Point 13.2)</w:t>
            </w:r>
            <w:r>
              <w:t xml:space="preserve"> </w:t>
            </w:r>
            <w:r>
              <w:t xml:space="preserve">(Hernán and Robins 2020, 200)</w:t>
            </w:r>
            <w:r>
              <w:t xml:space="preserve">.</w:t>
            </w:r>
          </w:p>
          <w:p/>
        </w:tc>
      </w:tr>
    </w:tbl>
    <w:bookmarkEnd w:id="16"/>
    <w:bookmarkEnd w:id="17"/>
    <w:bookmarkStart w:id="25" w:name="propensity-scores-pp.-201-202"/>
    <w:p>
      <w:pPr>
        <w:pStyle w:val="Heading2"/>
      </w:pPr>
      <w:r>
        <w:t xml:space="preserve">2 15.2 Propensity Scores (pp. 201-202)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8" w:name="def-propensity-score"/>
          <w:p>
            <w:pPr>
              <w:pStyle w:val="BodyText"/>
            </w:pPr>
            <w:r>
              <w:rPr>
                <w:b/>
                <w:bCs/>
              </w:rPr>
              <w:t xml:space="preserve">Definition 1 (Propensity Score)</w:t>
            </w:r>
            <w:r>
              <w:t xml:space="preserve"> </w:t>
            </w:r>
            <w:r>
              <w:t xml:space="preserve">For a dichotomous treatment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the</w:t>
            </w:r>
            <w:r>
              <w:t xml:space="preserve"> </w:t>
            </w:r>
            <w:r>
              <w:rPr>
                <w:b/>
                <w:bCs/>
              </w:rPr>
              <w:t xml:space="preserve">propensity score</w:t>
            </w:r>
            <w:r>
              <w:t xml:space="preserve"> </w:t>
            </w:r>
            <w:r>
              <w:t xml:space="preserve">is the conditional probability of treatment given the covariates: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π</m:t>
                </m:r>
                <m:r>
                  <m:rPr>
                    <m:sty m:val="p"/>
                  </m:rPr>
                  <m:t>(</m:t>
                </m:r>
                <m:r>
                  <m:t>L</m:t>
                </m:r>
                <m:r>
                  <m:rPr>
                    <m:sty m:val="p"/>
                  </m:rPr>
                  <m:t>)</m:t>
                </m:r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∣</m:t>
                </m:r>
                <m:r>
                  <m:t>L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bookmarkEnd w:id="18"/>
        </w:tc>
      </w:tr>
    </w:tbl>
    <w:p>
      <w:pPr>
        <w:pStyle w:val="Compact"/>
        <w:numPr>
          <w:ilvl w:val="0"/>
          <w:numId w:val="1003"/>
        </w:numPr>
      </w:pPr>
      <w:r>
        <w:t xml:space="preserve">In an ideal randomized trial assigning half the individuals to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for everyone, whatever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is.</w:t>
      </w:r>
    </w:p>
    <w:p>
      <w:pPr>
        <w:pStyle w:val="Compact"/>
        <w:numPr>
          <w:ilvl w:val="0"/>
          <w:numId w:val="1003"/>
        </w:numPr>
      </w:pPr>
      <w:r>
        <w:t xml:space="preserve">In an observational study,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is unknown and must be estimated, e.g., with the same logistic model used for IP weighting and g-estimation in Chapters 12 and 14.</w:t>
      </w:r>
    </w:p>
    <w:p>
      <w:pPr>
        <w:pStyle w:val="FirstParagraph"/>
      </w:pPr>
      <w:r>
        <w:t xml:space="preserve">The book restricts attention to dichotomous treatments:</w:t>
      </w:r>
      <w:r>
        <w:t xml:space="preserve"> </w:t>
      </w:r>
      <w:r>
        <w:t xml:space="preserve">propensity score methods other than IP weighting, g-estimation, and related doubly robust estimators are difficult to generalize to non-dichotomous treatments</w:t>
      </w:r>
      <w:r>
        <w:t xml:space="preserve"> </w:t>
      </w:r>
      <w:r>
        <w:t xml:space="preserve">(Hernán and Robins 2020, 201)</w:t>
      </w:r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9" w:name="exm-nhefs-propensity"/>
          <w:p>
            <w:pPr>
              <w:pStyle w:val="BodyText"/>
            </w:pPr>
            <w:r>
              <w:rPr>
                <w:b/>
                <w:bCs/>
              </w:rPr>
              <w:t xml:space="preserve">Example 2 (Estimated Propensity Scores in NHEFS)</w:t>
            </w:r>
            <w:r>
              <w:t xml:space="preserve"> </w:t>
            </w:r>
            <w:r>
              <w:t xml:space="preserve">From the logistic model for quitting smoking given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(Hernán and Robins 2020, 201)</w:t>
            </w:r>
            <w:r>
              <w:t xml:space="preserve">: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r>
              <w:t xml:space="preserve">lowest estimated propensity score: 0.053 (individual 22941);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r>
              <w:t xml:space="preserve">highest: 0.793 (individual 24949);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r>
              <w:t xml:space="preserve">mean estimated propensity score: 0.312 among quitters (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), 0.245 among nonquitters (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).</w:t>
            </w:r>
          </w:p>
          <w:p>
            <w:pPr>
              <w:pStyle w:val="FirstParagraph"/>
            </w:pPr>
            <w:r>
              <w:t xml:space="preserve">Figure 15.1 of the book shows the two distributions;</w:t>
            </w:r>
            <w:r>
              <w:t xml:space="preserve"> </w:t>
            </w:r>
            <w:r>
              <w:t xml:space="preserve">they overlap over most of the range.</w:t>
            </w:r>
          </w:p>
          <w:bookmarkEnd w:id="19"/>
        </w:tc>
      </w:tr>
    </w:tbl>
    <w:p>
      <w:pPr>
        <w:pStyle w:val="BodyText"/>
      </w:pPr>
      <w:r>
        <w:t xml:space="preserve">If the distribution of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were the same in the treated and the untreated, there would be no confounding by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(no open path from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A</m:t>
        </m:r>
      </m:oMath>
      <w:r>
        <w:t xml:space="preserve">).</w:t>
      </w:r>
      <w:r>
        <w:t xml:space="preserve"> </w:t>
      </w:r>
      <w:r>
        <w:t xml:space="preserve">Quitters having a higher average estimated probability of quitting is exactly what we expect when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predicts quitting.</w:t>
      </w:r>
    </w:p>
    <w:p>
      <w:r>
        <w:pict>
          <v:rect style="width:0;height:1.5pt" o:hralign="center" o:hrstd="t" o:hr="t"/>
        </w:pict>
      </w:r>
    </w:p>
    <w:bookmarkStart w:id="22" w:name="the-balancing-property"/>
    <w:p>
      <w:pPr>
        <w:pStyle w:val="Heading3"/>
      </w:pPr>
      <w:r>
        <w:t xml:space="preserve">2.1 The Balancing Property</w:t>
      </w:r>
    </w:p>
    <w:p>
      <w:pPr>
        <w:pStyle w:val="FirstParagraph"/>
      </w:pPr>
      <w:r>
        <w:t xml:space="preserve">Individuals with the same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may differ in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(e.g., smoking intensity and exercise),</w:t>
      </w:r>
      <w:r>
        <w:t xml:space="preserve"> </w:t>
      </w:r>
      <w:r>
        <w:t xml:space="preserve">but among all individuals with a given value of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in the super-population, the distribution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the same in the treated and the untreated: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⟂</m:t>
          </m:r>
          <m:r>
            <m:t>​</m:t>
          </m:r>
          <m:r>
            <m:t>​</m:t>
          </m:r>
          <m:r>
            <m:t>​</m:t>
          </m:r>
          <m:r>
            <m:rPr>
              <m:sty m:val="p"/>
            </m:rPr>
            <m:t>⟂</m:t>
          </m:r>
          <m:r>
            <m:t>L</m:t>
          </m:r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(</m:t>
          </m:r>
          <m:r>
            <m:t>L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We say the propensity score</w:t>
      </w:r>
      <w:r>
        <w:t xml:space="preserve"> </w:t>
      </w:r>
      <w:r>
        <w:rPr>
          <w:b/>
          <w:bCs/>
        </w:rPr>
        <w:t xml:space="preserve">balances</w:t>
      </w:r>
      <w:r>
        <w:t xml:space="preserve"> </w:t>
      </w:r>
      <w:r>
        <w:t xml:space="preserve">the covariates.</w:t>
      </w:r>
    </w:p>
    <w:p>
      <w:pPr>
        <w:pStyle w:val="BodyText"/>
      </w:pPr>
      <w:r>
        <w:t xml:space="preserve">Two caveats from the book</w:t>
      </w:r>
      <w:r>
        <w:t xml:space="preserve"> </w:t>
      </w:r>
      <w:r>
        <w:t xml:space="preserve">(Hernán and Robins 2020, 201–2)</w:t>
      </w:r>
      <w:r>
        <w:t xml:space="preserve">:</w:t>
      </w:r>
    </w:p>
    <w:p>
      <w:pPr>
        <w:pStyle w:val="Compact"/>
        <w:numPr>
          <w:ilvl w:val="0"/>
          <w:numId w:val="1005"/>
        </w:numPr>
      </w:pPr>
      <w:r>
        <w:t xml:space="preserve">The propensity score balances only the</w:t>
      </w:r>
      <w:r>
        <w:t xml:space="preserve"> </w:t>
      </w:r>
      <w:r>
        <w:rPr>
          <w:b/>
          <w:bCs/>
        </w:rPr>
        <w:t xml:space="preserve">measured</w:t>
      </w:r>
      <w:r>
        <w:t xml:space="preserve"> </w:t>
      </w:r>
      <w:r>
        <w:t xml:space="preserve">covariates</w:t>
      </w:r>
      <w:r>
        <w:t xml:space="preserve"> </w:t>
      </w:r>
      <m:oMath>
        <m:r>
          <m:t>L</m:t>
        </m:r>
      </m:oMath>
      <w:r>
        <w:t xml:space="preserve">;</w:t>
      </w:r>
      <w:r>
        <w:t xml:space="preserve"> </w:t>
      </w:r>
      <w:r>
        <w:t xml:space="preserve">unlike randomization, it does nothing about unmeasured confounders.</w:t>
      </w:r>
    </w:p>
    <w:p>
      <w:pPr>
        <w:pStyle w:val="Compact"/>
        <w:numPr>
          <w:ilvl w:val="0"/>
          <w:numId w:val="1005"/>
        </w:numPr>
      </w:pPr>
      <w:r>
        <w:t xml:space="preserve">In a finite study population the</w:t>
      </w:r>
      <w:r>
        <w:t xml:space="preserve"> </w:t>
      </w:r>
      <w:r>
        <w:rPr>
          <w:b/>
          <w:bCs/>
        </w:rPr>
        <w:t xml:space="preserve">true</w:t>
      </w:r>
      <w:r>
        <w:t xml:space="preserve"> </w:t>
      </w:r>
      <w:r>
        <w:t xml:space="preserve">propensity score balances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only approximately, because of sampling variability.</w:t>
      </w:r>
      <w:r>
        <w:t xml:space="preserve"> </w:t>
      </w:r>
      <w:r>
        <w:t xml:space="preserve">An estimated propensity score from a correct model generally gives better balance;</w:t>
      </w:r>
      <w:r>
        <w:t xml:space="preserve"> </w:t>
      </w:r>
      <w:r>
        <w:t xml:space="preserve">in a randomized experiment, adjusting for the estimated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corrects both systematic and chance imbalances, whereas the true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ignores the chance imbalances.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0" w:name="def-balancing-score"/>
          <w:p>
            <w:pPr>
              <w:pStyle w:val="BodyText"/>
            </w:pPr>
            <w:r>
              <w:rPr>
                <w:b/>
                <w:bCs/>
              </w:rPr>
              <w:t xml:space="preserve">Definition 2 (Balancing Score and Prognostic Score (Technical Point 15.1))</w:t>
            </w:r>
            <w:r>
              <w:t xml:space="preserve"> </w:t>
            </w:r>
            <w:r>
              <w:t xml:space="preserve"> 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balancing score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any function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such that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L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propensity score is the simplest example.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prognostic score</w:t>
            </w:r>
            <w:r>
              <w:t xml:space="preserve"> </w:t>
            </w:r>
            <m:oMath>
              <m:r>
                <m:t>s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a function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such that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L</m:t>
              </m:r>
              <m:r>
                <m:rPr>
                  <m:sty m:val="p"/>
                </m:rPr>
                <m:t>∣</m:t>
              </m:r>
              <m:r>
                <m:t>s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bookmarkEnd w:id="20"/>
        </w:tc>
      </w:tr>
    </w:tbl>
    <w:p>
      <w:pPr>
        <w:pStyle w:val="FirstParagraph"/>
      </w:pPr>
      <w:r>
        <w:t xml:space="preserve">Rosenbaum and Rubin (1983) proved that exchangeability and positivity given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imply exchangeability and positivity given any balancing score</w:t>
      </w:r>
      <w:r>
        <w:t xml:space="preserve"> </w:t>
      </w:r>
      <w:r>
        <w:t xml:space="preserve">(Hernán and Robins 2020, 202)</w:t>
      </w:r>
      <w:r>
        <w:t xml:space="preserve">.</w:t>
      </w:r>
      <w:r>
        <w:t xml:space="preserve"> </w:t>
      </w:r>
      <w:r>
        <w:t xml:space="preserve">Graphically,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sits between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, with a deterministic arrow</w:t>
      </w:r>
      <w:r>
        <w:t xml:space="preserve"> </w:t>
      </w:r>
      <m:oMath>
        <m:r>
          <m:t>L</m:t>
        </m:r>
        <m:r>
          <m:rPr>
            <m:sty m:val="p"/>
          </m:rPr>
          <m:t>→</m:t>
        </m:r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(book Figure 15.2);</w:t>
      </w:r>
      <w:r>
        <w:t xml:space="preserve"> </w:t>
      </w:r>
      <w:r>
        <w:t xml:space="preserve">since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blocks every backdoor path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L</m:t>
        </m:r>
      </m:oMath>
      <w:r>
        <w:t xml:space="preserve">, adjusting for it suffices.</w:t>
      </w:r>
    </w:p>
    <w:p>
      <w:pPr>
        <w:pStyle w:val="BodyText"/>
      </w:pPr>
      <w:r>
        <w:t xml:space="preserve">Methods based on prognostic scores need stronger assumptions and do not extend readily to time-varying treatments;</w:t>
      </w:r>
      <w:r>
        <w:t xml:space="preserve"> </w:t>
      </w:r>
      <w:r>
        <w:t xml:space="preserve">see Hansen (2008) and Abadie et al. (2013), as cited in</w:t>
      </w:r>
      <w:r>
        <w:t xml:space="preserve"> </w:t>
      </w:r>
      <w:r>
        <w:t xml:space="preserve">Hernán and Robins (2020, 202)</w:t>
      </w:r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1" w:name="thm-ps-exchangeability"/>
          <w:p>
            <w:pPr>
              <w:pStyle w:val="BodyText"/>
            </w:pPr>
            <w:r>
              <w:rPr>
                <w:b/>
                <w:bCs/>
              </w:rPr>
              <w:t xml:space="preserve">Theorem 1 (Exchangeability and Positivity Given the Propensity Score)</w:t>
            </w:r>
            <w:r>
              <w:t xml:space="preserve"> </w:t>
            </w:r>
            <w:r>
              <w:t xml:space="preserve"> 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If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</m:oMath>
            <w:r>
              <w:t xml:space="preserve">, then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Positivity holds within levels of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(no individual has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equal to 0 or 1)</w:t>
            </w:r>
            <w:r>
              <w:t xml:space="preserve"> </w:t>
            </w:r>
            <w:r>
              <w:rPr>
                <w:b/>
                <w:bCs/>
              </w:rPr>
              <w:t xml:space="preserve">if and only if</w:t>
            </w:r>
            <w:r>
              <w:t xml:space="preserve"> </w:t>
            </w:r>
            <w:r>
              <w:t xml:space="preserve">positivity holds within levels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</w:p>
          <w:bookmarkEnd w:id="21"/>
        </w:tc>
      </w:tr>
    </w:tbl>
    <w:p>
      <w:pPr>
        <w:pStyle w:val="FirstParagraph"/>
      </w:pPr>
      <w:r>
        <w:t xml:space="preserve">Hence, if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sufficient to adjust for confounding and selection bias, so is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(Hernán and Robins 2020, 202)</w:t>
      </w:r>
      <w:r>
        <w:t xml:space="preserve">.</w:t>
      </w:r>
      <w:r>
        <w:t xml:space="preserve"> </w:t>
      </w:r>
      <w:r>
        <w:t xml:space="preserve">Positivity given the propensity score means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∣</m:t>
        </m:r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s</m:t>
        </m:r>
        <m:r>
          <m:rPr>
            <m:sty m:val="p"/>
          </m:rPr>
          <m:t>]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s</m:t>
        </m:r>
        <m:r>
          <m:rPr>
            <m:sty m:val="p"/>
          </m:rPr>
          <m:t>]</m:t>
        </m:r>
      </m:oMath>
      <w:r>
        <w:t xml:space="preserve"> </w:t>
      </w:r>
      <w:r>
        <w:t xml:space="preserve">nonzero</w:t>
      </w:r>
      <w:r>
        <w:t xml:space="preserve"> </w:t>
      </w:r>
      <w:r>
        <w:t xml:space="preserve">(Hernán and Robins 2020, 204)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2"/>
    <w:bookmarkStart w:id="23" w:name="Xfd6e829bb5bfb256b9fdaa8a2b52eb3f8adbe4b"/>
    <w:p>
      <w:pPr>
        <w:pStyle w:val="Heading3"/>
      </w:pPr>
      <w:r>
        <w:t xml:space="preserve">2.2 Supplement: An Algebraic Proof of the Balancing Results</w:t>
      </w:r>
    </w:p>
    <w:p>
      <w:pPr>
        <w:pStyle w:val="FirstParagraph"/>
      </w:pPr>
      <w:r>
        <w:t xml:space="preserve">The book argues graphically (Technical Point 15.1);</w:t>
      </w:r>
      <w:r>
        <w:t xml:space="preserve"> </w:t>
      </w:r>
      <w:r>
        <w:t xml:space="preserve">the same results follow from iterated expectations.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 (Proof that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L</m:t>
              </m:r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)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 (Proof that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L</m:t>
              </m:r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). </w:t>
            </w:r>
            <w:r>
              <w:t xml:space="preserve">Since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a function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conditioning on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,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the same as conditioning on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∣</m:t>
                </m:r>
                <m:r>
                  <m:t>L</m:t>
                </m:r>
                <m:r>
                  <m:rPr>
                    <m:sty m:val="p"/>
                  </m:rPr>
                  <m:t>,</m:t>
                </m:r>
                <m:r>
                  <m:t>π</m:t>
                </m:r>
                <m:r>
                  <m:rPr>
                    <m:sty m:val="p"/>
                  </m:rPr>
                  <m:t>(</m:t>
                </m:r>
                <m:r>
                  <m:t>L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∣</m:t>
                </m:r>
                <m:r>
                  <m:t>L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=</m:t>
                </m:r>
                <m:r>
                  <m:t>π</m:t>
                </m:r>
                <m:r>
                  <m:rPr>
                    <m:sty m:val="p"/>
                  </m:rPr>
                  <m:t>(</m:t>
                </m:r>
                <m:r>
                  <m:t>L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Conditioning on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alone, by the law of iterated expectations: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π</m:t>
                    </m:r>
                    <m:r>
                      <m:rPr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]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rPr>
                            <m:sty m:val="p"/>
                          </m:rPr>
                          <m:t>Pr</m:t>
                        </m:r>
                        <m:r>
                          <m:rPr>
                            <m:sty m:val="p"/>
                          </m:rPr>
                          <m:t>[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]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π</m:t>
                    </m:r>
                    <m:r>
                      <m:rPr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The two probabilities are equal, so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does not depend on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once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fixed: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L</m:t>
              </m:r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 (Proof of part 1 of</w:t>
            </w:r>
            <w:r>
              <w:t xml:space="preserve"> </w:t>
            </w:r>
            <w:hyperlink w:anchor="thm-ps-exchangeability">
              <w:r>
                <w:rPr>
                  <w:rStyle w:val="Hyperlink"/>
                </w:rPr>
                <w:t xml:space="preserve">Theorem 1</w:t>
              </w:r>
            </w:hyperlink>
            <w:r>
              <w:t xml:space="preserve">)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 (Proof of part 1 of</w:t>
            </w:r>
            <w:r>
              <w:t xml:space="preserve"> </w:t>
            </w:r>
            <w:hyperlink w:anchor="thm-ps-exchangeability">
              <w:r>
                <w:rPr>
                  <w:rStyle w:val="Hyperlink"/>
                </w:rPr>
                <w:t xml:space="preserve">Theorem 1</w:t>
              </w:r>
            </w:hyperlink>
            <w:r>
              <w:t xml:space="preserve">). 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∣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</m:sup>
                    </m:sSup>
                    <m:r>
                      <m:rPr>
                        <m:sty m:val="p"/>
                      </m:rPr>
                      <m:t>,</m:t>
                    </m:r>
                    <m:r>
                      <m:t>π</m:t>
                    </m:r>
                    <m:r>
                      <m:rPr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]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rPr>
                            <m:sty m:val="p"/>
                          </m:rPr>
                          <m:t>Pr</m:t>
                        </m:r>
                        <m:r>
                          <m:rPr>
                            <m:sty m:val="p"/>
                          </m:rPr>
                          <m:t>[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,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]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,</m:t>
                        </m:r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(iterated expectations; </m:t>
                    </m:r>
                    <m:r>
                      <m:t>π</m:t>
                    </m:r>
                    <m:r>
                      <m:rPr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nor/>
                        <m:sty m:val="p"/>
                      </m:rPr>
                      <m:t> is a function of </m:t>
                    </m:r>
                    <m:r>
                      <m:t>L</m:t>
                    </m:r>
                    <m:r>
                      <m:rPr>
                        <m:nor/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rPr>
                            <m:sty m:val="p"/>
                          </m:rPr>
                          <m:t>Pr</m:t>
                        </m:r>
                        <m:r>
                          <m:rPr>
                            <m:sty m:val="p"/>
                          </m:rPr>
                          <m:t>[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]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,</m:t>
                        </m:r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(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</m:sup>
                    </m:sSup>
                    <m:r>
                      <m:rPr>
                        <m:sty m:val="p"/>
                      </m:rPr>
                      <m:t>⟂</m:t>
                    </m:r>
                    <m:r>
                      <m:t>​</m:t>
                    </m:r>
                    <m:r>
                      <m:t>​</m:t>
                    </m:r>
                    <m:r>
                      <m:t>​</m:t>
                    </m:r>
                    <m:r>
                      <m:rPr>
                        <m:sty m:val="p"/>
                      </m:rPr>
                      <m:t>⟂</m:t>
                    </m:r>
                    <m:r>
                      <m:t>A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,</m:t>
                        </m:r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(definition of </m:t>
                    </m:r>
                    <m:r>
                      <m:t>π</m:t>
                    </m:r>
                    <m:r>
                      <m:rPr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nor/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π</m:t>
                    </m:r>
                    <m:r>
                      <m:rPr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which does not depend on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; hence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23"/>
    <w:bookmarkStart w:id="24" w:name="using-the-propensity-score"/>
    <w:p>
      <w:pPr>
        <w:pStyle w:val="Heading3"/>
      </w:pPr>
      <w:r>
        <w:t xml:space="preserve">2.3 Using the Propensity Score</w:t>
      </w:r>
    </w:p>
    <w:p>
      <w:pPr>
        <w:pStyle w:val="FirstParagraph"/>
      </w:pPr>
      <w:r>
        <w:t xml:space="preserve">Under exchangeability and positivity given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, we can estimate causal effects by</w:t>
      </w:r>
    </w:p>
    <w:p>
      <w:pPr>
        <w:pStyle w:val="Compact"/>
        <w:numPr>
          <w:ilvl w:val="0"/>
          <w:numId w:val="1008"/>
        </w:numPr>
      </w:pPr>
      <w:r>
        <w:t xml:space="preserve">stratification (including outcome regression) on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Compact"/>
        <w:numPr>
          <w:ilvl w:val="0"/>
          <w:numId w:val="1008"/>
        </w:numPr>
      </w:pPr>
      <w:r>
        <w:t xml:space="preserve">standardization over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Compact"/>
        <w:numPr>
          <w:ilvl w:val="0"/>
          <w:numId w:val="1008"/>
        </w:numPr>
      </w:pPr>
      <w:r>
        <w:t xml:space="preserve">matching on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First estimate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from the data, then use the estimate in place of</w:t>
      </w:r>
      <w:r>
        <w:t xml:space="preserve"> </w:t>
      </w:r>
      <m:oMath>
        <m:r>
          <m:t>L</m:t>
        </m:r>
      </m:oMath>
      <w:r>
        <w:t xml:space="preserve">.</w:t>
      </w:r>
    </w:p>
    <w:bookmarkEnd w:id="24"/>
    <w:bookmarkEnd w:id="25"/>
    <w:bookmarkStart w:id="31" w:name="Xbb6a072e6c688c8763c21accee5e0976fa5155a"/>
    <w:p>
      <w:pPr>
        <w:pStyle w:val="Heading2"/>
      </w:pPr>
      <w:r>
        <w:t xml:space="preserve">3 15.3 Propensity Stratification and Standardization (pp. 202-204)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Under the identifying conditions, for each value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of the propensity score,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s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s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s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s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But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is generally continuous, so almost no two individuals share a value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(e.g., only one NHEFS individual had an estimated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of 0.6563).</w:t>
      </w:r>
    </w:p>
    <w:p>
      <w:r>
        <w:pict>
          <v:rect style="width:0;height:1.5pt" o:hralign="center" o:hrstd="t" o:hr="t"/>
        </w:pict>
      </w:r>
    </w:p>
    <w:bookmarkStart w:id="27" w:name="stratifying-on-deciles"/>
    <w:p>
      <w:pPr>
        <w:pStyle w:val="Heading3"/>
      </w:pPr>
      <w:r>
        <w:t xml:space="preserve">3.1 Stratifying on Deciles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6" w:name="exm-ps-deciles"/>
          <w:p>
            <w:pPr>
              <w:pStyle w:val="BodyText"/>
            </w:pPr>
            <w:r>
              <w:rPr>
                <w:b/>
                <w:bCs/>
              </w:rPr>
              <w:t xml:space="preserve">Example 3 (Decile Stratification in NHEFS)</w:t>
            </w:r>
            <w:r>
              <w:t xml:space="preserve"> </w:t>
            </w:r>
            <w:r>
              <w:t xml:space="preserve">Classify individuals into 10 strata (deciles) of the estimated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, about 162 individuals each, and estimate the effect within each decile</w:t>
            </w:r>
            <w:r>
              <w:t xml:space="preserve"> </w:t>
            </w:r>
            <w:r>
              <w:t xml:space="preserve">(Hernán and Robins 2020, 203)</w:t>
            </w:r>
            <w:r>
              <w:t xml:space="preserve">: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r>
              <w:t xml:space="preserve">decile-specific effects of smoking cessation on weight gain ranged from 0.0 to 6.6 kg, with wide 95% CIs;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r>
              <w:t xml:space="preserve">the same estimates come from an outcome regression of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9 decile indicators, and 9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×</m:t>
              </m:r>
            </m:oMath>
            <w:r>
              <w:t xml:space="preserve"> </w:t>
            </w:r>
            <w:r>
              <w:t xml:space="preserve">indicator product terms;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r>
              <w:t xml:space="preserve">without product terms (no effect modification by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, as most applications assume): 3.5 kg (95% CI: 2.6, 4.4).</w:t>
            </w:r>
          </w:p>
          <w:bookmarkEnd w:id="26"/>
        </w:tc>
      </w:tr>
    </w:tbl>
    <w:p>
      <w:pPr>
        <w:pStyle w:val="FirstParagraph"/>
      </w:pPr>
      <w:r>
        <w:t xml:space="preserve">See Fine Point 15.2 (Section 15.5) for effect modification by the propensity score.</w:t>
      </w:r>
    </w:p>
    <w:p>
      <w:r>
        <w:pict>
          <v:rect style="width:0;height:1.5pt" o:hralign="center" o:hrstd="t" o:hr="t"/>
        </w:pict>
      </w:r>
    </w:p>
    <w:bookmarkEnd w:id="27"/>
    <w:bookmarkStart w:id="28" w:name="X7dd2491d7774fc8bb77e2f7954fad31fdc6f1fe"/>
    <w:p>
      <w:pPr>
        <w:pStyle w:val="Heading3"/>
      </w:pPr>
      <w:r>
        <w:t xml:space="preserve">3.2 A Problem with Categorized Propensity Scores</w:t>
      </w:r>
    </w:p>
    <w:p>
      <w:pPr>
        <w:pStyle w:val="FirstParagraph"/>
      </w:pPr>
      <w:r>
        <w:t xml:space="preserve">Within a decile, the distribution of the continuous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may still differ between treated and untreated</w:t>
      </w:r>
      <w:r>
        <w:t xml:space="preserve"> </w:t>
      </w:r>
      <w:r>
        <w:t xml:space="preserve">(e.g., higher average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in the treated), so the groups may not be exchangeable within that decile.</w:t>
      </w:r>
    </w:p>
    <w:p>
      <w:pPr>
        <w:pStyle w:val="BodyText"/>
      </w:pPr>
      <w:r>
        <w:t xml:space="preserve">Remedy: use the estimated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as a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covariate in the outcome model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A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π</m:t>
            </m:r>
            <m:r>
              <m:rPr>
                <m:sty m:val="p"/>
              </m:rPr>
              <m:t>(</m:t>
            </m:r>
            <m:r>
              <m:t>L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In NHEFS (linear in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): 3.6 kg (95% CI: 2.7, 4.5).</w:t>
      </w:r>
    </w:p>
    <w:p>
      <w:pPr>
        <w:pStyle w:val="BodyText"/>
      </w:pPr>
      <w:r>
        <w:t xml:space="preserve">IP weighting and g-estimation never had this problem, because they used the numerical value of the estimated probability rather than a categorized version</w:t>
      </w:r>
      <w:r>
        <w:t xml:space="preserve"> </w:t>
      </w:r>
      <w:r>
        <w:t xml:space="preserve">(Hernán and Robins 2020, 203)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Caution</w:t>
      </w:r>
      <w:r>
        <w:t xml:space="preserve">: for a dichotomous treatment the IP weight denominator is not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itself but a function of it: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treated (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) 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untreated (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).</w:t>
      </w:r>
    </w:p>
    <w:p>
      <w:pPr>
        <w:pStyle w:val="BodyText"/>
      </w:pPr>
      <w:r>
        <w:t xml:space="preserve">The outcome model now requires a correct specification of the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-</w:t>
      </w:r>
      <m:oMath>
        <m:r>
          <m:t>Y</m:t>
        </m:r>
      </m:oMath>
      <w:r>
        <w:t xml:space="preserve"> </w:t>
      </w:r>
      <w:r>
        <w:t xml:space="preserve">relation.</w:t>
      </w:r>
      <w:r>
        <w:t xml:space="preserve"> </w:t>
      </w:r>
      <w:r>
        <w:t xml:space="preserve">Because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is one-dimensional, this is easy to protect with flexible terms such as cubic splines;</w:t>
      </w:r>
      <w:r>
        <w:t xml:space="preserve"> </w:t>
      </w:r>
      <w:r>
        <w:t xml:space="preserve">IP weighting and g-estimation were agnostic about that relation.</w:t>
      </w:r>
      <w:r>
        <w:t xml:space="preserve"> </w:t>
      </w:r>
      <w:r>
        <w:t xml:space="preserve">Note, though, that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itself must still be estimated from a model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 the high-dimensional</w:t>
      </w:r>
      <w:r>
        <w:t xml:space="preserve"> </w:t>
      </w:r>
      <m:oMath>
        <m:r>
          <m:t>L</m:t>
        </m:r>
      </m:oMath>
      <w:r>
        <w:t xml:space="preserve">, as in IP weighting and g-estimation.</w:t>
      </w:r>
    </w:p>
    <w:p>
      <w:r>
        <w:pict>
          <v:rect style="width:0;height:1.5pt" o:hralign="center" o:hrstd="t" o:hr="t"/>
        </w:pict>
      </w:r>
    </w:p>
    <w:bookmarkEnd w:id="28"/>
    <w:bookmarkStart w:id="30" w:name="standardizing-over-the-propensity-score"/>
    <w:p>
      <w:pPr>
        <w:pStyle w:val="Heading3"/>
      </w:pPr>
      <w:r>
        <w:t xml:space="preserve">3.3 Standardizing over the Propensity Score</w:t>
      </w:r>
    </w:p>
    <w:p>
      <w:pPr>
        <w:pStyle w:val="FirstParagraph"/>
      </w:pPr>
      <w:r>
        <w:t xml:space="preserve">The outcome model on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estimates effects</w:t>
      </w:r>
      <w:r>
        <w:t xml:space="preserve"> </w:t>
      </w:r>
      <w:r>
        <w:rPr>
          <w:b/>
          <w:bCs/>
        </w:rPr>
        <w:t xml:space="preserve">within</w:t>
      </w:r>
      <w:r>
        <w:t xml:space="preserve"> </w:t>
      </w:r>
      <w:r>
        <w:t xml:space="preserve">levels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the population average causal effect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c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c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  <m:r>
          <m:t>​</m:t>
        </m:r>
      </m:oMath>
      <w:r>
        <w:t xml:space="preserve">, standardize the fitted conditional means over the distribution of the estimated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Chapter 13 procedure with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L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/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/>
              </m:r>
            </m:e>
          </m:nary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π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9" w:name="exm-ps-standardization"/>
          <w:p>
            <w:pPr>
              <w:pStyle w:val="BodyText"/>
            </w:pPr>
            <w:r>
              <w:rPr>
                <w:b/>
                <w:bCs/>
              </w:rPr>
              <w:t xml:space="preserve">Example 4 (Standardized Estimate in NHEFS)</w:t>
            </w:r>
            <w:r>
              <w:t xml:space="preserve"> </w:t>
            </w:r>
            <w:r>
              <w:t xml:space="preserve">Standardizing over the estimated propensity score (the outcome model may include an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×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product term) gives</w:t>
            </w:r>
            <w:r>
              <w:t xml:space="preserve"> </w:t>
            </w:r>
            <w:r>
              <w:t xml:space="preserve">3.6 kg (95% CI: 2.7, 4.6)</w:t>
            </w:r>
            <w:r>
              <w:t xml:space="preserve"> </w:t>
            </w:r>
            <w:r>
              <w:t xml:space="preserve">(Hernán and Robins 2020, 203)</w:t>
            </w:r>
            <w:r>
              <w:t xml:space="preserve">.</w:t>
            </w:r>
          </w:p>
          <w:bookmarkEnd w:id="29"/>
        </w:tc>
      </w:tr>
    </w:tbl>
    <w:bookmarkEnd w:id="30"/>
    <w:bookmarkEnd w:id="31"/>
    <w:bookmarkStart w:id="36" w:name="propensity-matching-pp.-204-205"/>
    <w:p>
      <w:pPr>
        <w:pStyle w:val="Heading2"/>
      </w:pPr>
      <w:r>
        <w:t xml:space="preserve">4 15.4 Propensity Matching (pp. 204-205)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Matching on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is analogous to matching on a single continuous variable (Chapter 4).</w:t>
      </w:r>
      <w:r>
        <w:t xml:space="preserve"> </w:t>
      </w:r>
      <w:r>
        <w:t xml:space="preserve">All versions try to build a</w:t>
      </w:r>
      <w:r>
        <w:t xml:space="preserve"> </w:t>
      </w:r>
      <w:r>
        <w:rPr>
          <w:b/>
          <w:bCs/>
        </w:rPr>
        <w:t xml:space="preserve">matched population</w:t>
      </w:r>
      <w:r>
        <w:t xml:space="preserve"> </w:t>
      </w:r>
      <w:r>
        <w:t xml:space="preserve">in which treated and untreated have the same distribution of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, and hence are exchangeable.</w:t>
      </w:r>
    </w:p>
    <w:p>
      <w:pPr>
        <w:pStyle w:val="Compact"/>
        <w:numPr>
          <w:ilvl w:val="0"/>
          <w:numId w:val="1010"/>
        </w:numPr>
      </w:pPr>
      <w:r>
        <w:t xml:space="preserve">E.g., pair each treated individual with one (or more) untreated individuals with the same, or a close, propensity score.</w:t>
      </w:r>
    </w:p>
    <w:p>
      <w:pPr>
        <w:pStyle w:val="Compact"/>
        <w:numPr>
          <w:ilvl w:val="0"/>
          <w:numId w:val="1010"/>
        </w:numPr>
      </w:pPr>
      <w:r>
        <w:t xml:space="preserve">Under exchangeability and positivity given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, association measures in the matched population consistently estimate the effect measures</w:t>
      </w:r>
      <w:r>
        <w:t xml:space="preserve"> </w:t>
      </w:r>
      <w:r>
        <w:rPr>
          <w:b/>
          <w:bCs/>
        </w:rPr>
        <w:t xml:space="preserve">in the matched population</w:t>
      </w:r>
      <w:r>
        <w:t xml:space="preserve">.</w:t>
      </w:r>
    </w:p>
    <w:p>
      <w:pPr>
        <w:pStyle w:val="FirstParagraph"/>
      </w:pPr>
      <w:r>
        <w:t xml:space="preserve">The matched population can be given the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distribution of the treated, of the untreated, or any other distribution</w:t>
      </w:r>
      <w:r>
        <w:t xml:space="preserve"> </w:t>
      </w:r>
      <w:r>
        <w:t xml:space="preserve">(Hernán and Robins 2020, 204)</w:t>
      </w:r>
      <w:r>
        <w:t xml:space="preserve">.</w:t>
      </w:r>
    </w:p>
    <w:p>
      <w:pPr>
        <w:pStyle w:val="BodyText"/>
      </w:pPr>
      <w:r>
        <w:t xml:space="preserve">Variance estimation for matched estimators used to be an open problem;</w:t>
      </w:r>
      <w:r>
        <w:t xml:space="preserve"> </w:t>
      </w:r>
      <w:r>
        <w:t xml:space="preserve">Abadie and Imbens (2006) solved it</w:t>
      </w:r>
      <w:r>
        <w:t xml:space="preserve"> </w:t>
      </w:r>
      <w:r>
        <w:t xml:space="preserve">(Hernán and Robins 2020, 204)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Start w:id="32" w:name="defining-closeness"/>
    <w:p>
      <w:pPr>
        <w:pStyle w:val="Heading3"/>
      </w:pPr>
      <w:r>
        <w:t xml:space="preserve">4.1 Defining Closeness</w:t>
      </w:r>
    </w:p>
    <w:p>
      <w:pPr>
        <w:pStyle w:val="FirstParagraph"/>
      </w:pPr>
      <w:r>
        <w:t xml:space="preserve">Exact matches on a continuous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are rare, so we match on a</w:t>
      </w:r>
      <w:r>
        <w:t xml:space="preserve"> </w:t>
      </w:r>
      <w:r>
        <w:rPr>
          <w:b/>
          <w:bCs/>
        </w:rPr>
        <w:t xml:space="preserve">close</w:t>
      </w:r>
      <w:r>
        <w:t xml:space="preserve"> </w:t>
      </w:r>
      <w:r>
        <w:t xml:space="preserve">value,</w:t>
      </w:r>
      <w:r>
        <w:t xml:space="preserve"> </w:t>
      </w:r>
      <w:r>
        <w:t xml:space="preserve">e.g., untreated individuals within</w:t>
      </w:r>
      <w:r>
        <w:t xml:space="preserve"> </w:t>
      </w:r>
      <m:oMath>
        <m:r>
          <m:rPr>
            <m:sty m:val="p"/>
          </m:rPr>
          <m:t>±</m:t>
        </m:r>
        <m:r>
          <m:t>0.05</m:t>
        </m:r>
      </m:oMath>
      <w:r>
        <w:t xml:space="preserve"> </w:t>
      </w:r>
      <w:r>
        <w:t xml:space="preserve">of the treated individual’s estimated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(e.g., a treated individual with estimated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0.6563</m:t>
        </m:r>
      </m:oMath>
      <w:r>
        <w:t xml:space="preserve"> </w:t>
      </w:r>
      <w:r>
        <w:t xml:space="preserve">could be matched to an untreated individual with 0.6579).</w:t>
      </w:r>
    </w:p>
    <w:p>
      <w:pPr>
        <w:pStyle w:val="BodyText"/>
      </w:pPr>
      <w:r>
        <w:rPr>
          <w:b/>
          <w:bCs/>
        </w:rPr>
        <w:t xml:space="preserve">Bias-variance trade-off</w:t>
      </w:r>
      <w:r>
        <w:t xml:space="preserve">:</w:t>
      </w:r>
    </w:p>
    <w:p>
      <w:pPr>
        <w:pStyle w:val="Compact"/>
        <w:numPr>
          <w:ilvl w:val="0"/>
          <w:numId w:val="1011"/>
        </w:numPr>
      </w:pPr>
      <w:r>
        <w:t xml:space="preserve">criteria too loose: the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distribution differs between matched treated and untreated, so exchangeability fails;</w:t>
      </w:r>
    </w:p>
    <w:p>
      <w:pPr>
        <w:pStyle w:val="Compact"/>
        <w:numPr>
          <w:ilvl w:val="0"/>
          <w:numId w:val="1011"/>
        </w:numPr>
      </w:pPr>
      <w:r>
        <w:t xml:space="preserve">criteria too tight: many individuals are excluded;</w:t>
      </w:r>
      <w:r>
        <w:t xml:space="preserve"> </w:t>
      </w:r>
      <w:r>
        <w:t xml:space="preserve">approximate exchangeability, but wider confidence intervals.</w:t>
      </w:r>
    </w:p>
    <w:p>
      <w:r>
        <w:pict>
          <v:rect style="width:0;height:1.5pt" o:hralign="center" o:hrstd="t" o:hr="t"/>
        </w:pict>
      </w:r>
    </w:p>
    <w:bookmarkEnd w:id="32"/>
    <w:bookmarkStart w:id="33" w:name="matching-and-positivity"/>
    <w:p>
      <w:pPr>
        <w:pStyle w:val="Heading3"/>
      </w:pPr>
      <w:r>
        <w:t xml:space="preserve">4.2 Matching and Positivity</w:t>
      </w:r>
    </w:p>
    <w:p>
      <w:pPr>
        <w:pStyle w:val="Compact"/>
        <w:numPr>
          <w:ilvl w:val="0"/>
          <w:numId w:val="1012"/>
        </w:numPr>
      </w:pPr>
      <w:r>
        <w:t xml:space="preserve">In NHEFS, the estimated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distributions overlapped over most of the range;</w:t>
      </w:r>
      <w:r>
        <w:t xml:space="preserve"> </w:t>
      </w:r>
      <w:r>
        <w:t xml:space="preserve">only 2 treated individuals had values above those of every untreated individual.</w:t>
      </w:r>
    </w:p>
    <w:p>
      <w:pPr>
        <w:pStyle w:val="Compact"/>
        <w:numPr>
          <w:ilvl w:val="0"/>
          <w:numId w:val="1012"/>
        </w:numPr>
      </w:pPr>
      <w:r>
        <w:t xml:space="preserve">Outcome regression on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(Section 15.3) kept them, implicitly treating the lack of comparable untreated individuals as</w:t>
      </w:r>
      <w:r>
        <w:t xml:space="preserve"> </w:t>
      </w:r>
      <w:r>
        <w:rPr>
          <w:b/>
          <w:bCs/>
        </w:rPr>
        <w:t xml:space="preserve">random nonpositivity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Most matched analyses would drop them.</w:t>
      </w:r>
      <w:r>
        <w:t xml:space="preserve"> </w:t>
      </w:r>
      <w:r>
        <w:t xml:space="preserve">Matching does not distinguish random from structural nonpositivity.</w:t>
      </w:r>
    </w:p>
    <w:p>
      <w:pPr>
        <w:pStyle w:val="FirstParagraph"/>
      </w:pPr>
      <w:r>
        <w:t xml:space="preserve">The book also states this count as a percentage of the study population (0.01%);</w:t>
      </w:r>
      <w:r>
        <w:t xml:space="preserve"> </w:t>
      </w:r>
      <w:r>
        <w:t xml:space="preserve">that percentage is not reproduced here because it is inconsistent with the counts: 2 individuals are about 0.1% of a study population of roughly 1,600.</w:t>
      </w:r>
    </w:p>
    <w:p>
      <w:r>
        <w:pict>
          <v:rect style="width:0;height:1.5pt" o:hralign="center" o:hrstd="t" o:hr="t"/>
        </w:pict>
      </w:r>
    </w:p>
    <w:bookmarkEnd w:id="33"/>
    <w:bookmarkStart w:id="34" w:name="who-is-in-the-matched-population"/>
    <w:p>
      <w:pPr>
        <w:pStyle w:val="Heading3"/>
      </w:pPr>
      <w:r>
        <w:t xml:space="preserve">4.3 Who Is in the Matched Population?</w:t>
      </w:r>
    </w:p>
    <w:p>
      <w:pPr>
        <w:pStyle w:val="Compact"/>
        <w:numPr>
          <w:ilvl w:val="0"/>
          <w:numId w:val="1013"/>
        </w:numPr>
      </w:pPr>
      <w:r>
        <w:t xml:space="preserve">In theory, matching targets a well-characterized population: matching every treated individual and dropping unmatched untreated estimates the</w:t>
      </w:r>
      <w:r>
        <w:t xml:space="preserve"> </w:t>
      </w:r>
      <w:r>
        <w:rPr>
          <w:b/>
          <w:bCs/>
        </w:rPr>
        <w:t xml:space="preserve">effect in the treated</w:t>
      </w:r>
      <w:r>
        <w:t xml:space="preserve"> </w:t>
      </w:r>
      <w:r>
        <w:t xml:space="preserve">(Fine Point 15.2).</w:t>
      </w:r>
    </w:p>
    <w:p>
      <w:pPr>
        <w:pStyle w:val="Compact"/>
        <w:numPr>
          <w:ilvl w:val="0"/>
          <w:numId w:val="1013"/>
        </w:numPr>
      </w:pPr>
      <w:r>
        <w:t xml:space="preserve">In practice, treated individuals without a close match are excluded too, so the estimate refers to a subset defined by the values of the estimated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that found matches.</w:t>
      </w:r>
    </w:p>
    <w:p>
      <w:pPr>
        <w:pStyle w:val="FirstParagraph"/>
      </w:pPr>
      <w:r>
        <w:t xml:space="preserve">Restricting to, say, estimated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0.67</m:t>
        </m:r>
      </m:oMath>
      <w:r>
        <w:t xml:space="preserve"> </w:t>
      </w:r>
      <w:r>
        <w:t xml:space="preserve">yields a population that is hard to describe:</w:t>
      </w:r>
      <w:r>
        <w:t xml:space="preserve"> </w:t>
      </w:r>
      <w:r>
        <w:t xml:space="preserve">“individuals do not come with a propensity score tattooed on their forehead”</w:t>
      </w:r>
      <w:r>
        <w:t xml:space="preserve"> </w:t>
      </w:r>
      <w:r>
        <w:t xml:space="preserve">(Hernán and Robins 2020, 205)</w:t>
      </w:r>
      <w:r>
        <w:t xml:space="preserve">,</w:t>
      </w:r>
      <w:r>
        <w:t xml:space="preserve"> </w:t>
      </w:r>
      <w:r>
        <w:t xml:space="preserve">so transportability to other populations is hard to judge.</w:t>
      </w:r>
    </w:p>
    <w:p>
      <w:r>
        <w:pict>
          <v:rect style="width:0;height:1.5pt" o:hralign="center" o:hrstd="t" o:hr="t"/>
        </w:pict>
      </w:r>
    </w:p>
    <w:bookmarkEnd w:id="34"/>
    <w:bookmarkStart w:id="35" w:name="restrict-on-real-world-variables-instead"/>
    <w:p>
      <w:pPr>
        <w:pStyle w:val="Heading3"/>
      </w:pPr>
      <w:r>
        <w:t xml:space="preserve">4.4 Restrict on Real-World Variables Instead</w:t>
      </w:r>
    </w:p>
    <w:p>
      <w:pPr>
        <w:pStyle w:val="FirstParagraph"/>
      </w:pPr>
      <w:r>
        <w:t xml:space="preserve">In NHEFS, the 2 treated individuals with estimated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0.67</m:t>
        </m:r>
      </m:oMath>
      <w:r>
        <w:t xml:space="preserve"> </w:t>
      </w:r>
      <w:r>
        <w:t xml:space="preserve">were the only participants over age 50 who had smoked for fewer than 10 years.</w:t>
      </w:r>
      <w:r>
        <w:t xml:space="preserve"> </w:t>
      </w:r>
      <w:r>
        <w:t xml:space="preserve">Excluding them gives an estimate for</w:t>
      </w:r>
    </w:p>
    <w:p>
      <w:pPr>
        <w:pStyle w:val="Compact"/>
        <w:numPr>
          <w:ilvl w:val="0"/>
          <w:numId w:val="1014"/>
        </w:numPr>
      </w:pPr>
      <w:r>
        <w:t xml:space="preserve">smokers under 50, and</w:t>
      </w:r>
    </w:p>
    <w:p>
      <w:pPr>
        <w:pStyle w:val="Compact"/>
        <w:numPr>
          <w:ilvl w:val="0"/>
          <w:numId w:val="1014"/>
        </w:numPr>
      </w:pPr>
      <w:r>
        <w:t xml:space="preserve">smokers 50 and over who had smoked for at least 10 years,</w:t>
      </w:r>
    </w:p>
    <w:p>
      <w:pPr>
        <w:pStyle w:val="FirstParagraph"/>
      </w:pPr>
      <w:r>
        <w:t xml:space="preserve">which is a far more natural target population than</w:t>
      </w:r>
      <w:r>
        <w:t xml:space="preserve"> </w:t>
      </w:r>
      <w:r>
        <w:t xml:space="preserve">“estimated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0.67</m:t>
        </m:r>
      </m:oMath>
      <w:r>
        <w:t xml:space="preserve">”</w:t>
      </w:r>
      <w:r>
        <w:t xml:space="preserve"> </w:t>
      </w:r>
      <w:r>
        <w:t xml:space="preserve">(Hernán and Robins 2020, 205)</w:t>
      </w:r>
      <w:r>
        <w:t xml:space="preserve">.</w:t>
      </w:r>
    </w:p>
    <w:p>
      <w:pPr>
        <w:pStyle w:val="BodyText"/>
      </w:pPr>
      <w:r>
        <w:t xml:space="preserve">Using propensity scores to</w:t>
      </w:r>
      <w:r>
        <w:t xml:space="preserve"> </w:t>
      </w:r>
      <w:r>
        <w:rPr>
          <w:b/>
          <w:bCs/>
        </w:rPr>
        <w:t xml:space="preserve">find</w:t>
      </w:r>
      <w:r>
        <w:t xml:space="preserve"> </w:t>
      </w:r>
      <w:r>
        <w:t xml:space="preserve">the region of overlap can be useful,</w:t>
      </w:r>
      <w:r>
        <w:t xml:space="preserve"> </w:t>
      </w:r>
      <w:r>
        <w:t xml:space="preserve">but restricting the study population to that region is a</w:t>
      </w:r>
      <w:r>
        <w:t xml:space="preserve"> </w:t>
      </w:r>
      <w:r>
        <w:t xml:space="preserve">“lazy”</w:t>
      </w:r>
      <w:r>
        <w:t xml:space="preserve"> </w:t>
      </w:r>
      <w:r>
        <w:t xml:space="preserve">way to secure positivity:</w:t>
      </w:r>
      <w:r>
        <w:t xml:space="preserve"> </w:t>
      </w:r>
      <w:r>
        <w:t xml:space="preserve">the automatic positivity of matching must be weighed against the difficulty of assessing transportability</w:t>
      </w:r>
      <w:r>
        <w:t xml:space="preserve"> </w:t>
      </w:r>
      <w:r>
        <w:t xml:space="preserve">(Hernán and Robins 2020, 205)</w:t>
      </w:r>
      <w:r>
        <w:t xml:space="preserve">.</w:t>
      </w:r>
      <w:r>
        <w:t xml:space="preserve"> </w:t>
      </w:r>
      <w:r>
        <w:t xml:space="preserve">Even if everyone’s propensity score were visible, the population could remain ill-characterized, because the same propensity score value can mean different things in different settings.</w:t>
      </w:r>
    </w:p>
    <w:bookmarkEnd w:id="35"/>
    <w:bookmarkEnd w:id="36"/>
    <w:bookmarkStart w:id="45" w:name="X2b8f3fbf6f944863a7f116e72fd1bfc77dfd929"/>
    <w:p>
      <w:pPr>
        <w:pStyle w:val="Heading2"/>
      </w:pPr>
      <w:r>
        <w:t xml:space="preserve">5 15.5 Propensity Models, Structural Models, Predictive Models (pp. 205-208)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Part II used two kinds of models for causal inference.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37" w:name="def-propensity-structural-models"/>
          <w:p>
            <w:pPr>
              <w:pStyle w:val="BodyText"/>
            </w:pPr>
            <w:r>
              <w:rPr>
                <w:b/>
                <w:bCs/>
              </w:rPr>
              <w:t xml:space="preserve">Definition 3 (Propensity Models and Structural Models)</w:t>
            </w:r>
            <w:r>
              <w:t xml:space="preserve"> </w:t>
            </w:r>
            <w:r>
              <w:t xml:space="preserve"> </w:t>
            </w:r>
          </w:p>
          <w:p>
            <w:pPr>
              <w:pStyle w:val="Compact"/>
              <w:numPr>
                <w:ilvl w:val="0"/>
                <w:numId w:val="1015"/>
              </w:numPr>
            </w:pPr>
            <w:r>
              <w:rPr>
                <w:b/>
                <w:bCs/>
              </w:rPr>
              <w:t xml:space="preserve">Propensity models</w:t>
            </w:r>
            <w:r>
              <w:t xml:space="preserve">: models for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, where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are the variables needed for conditional exchangeability.</w:t>
            </w:r>
            <w:r>
              <w:t xml:space="preserve"> </w:t>
            </w:r>
            <w:r>
              <w:t xml:space="preserve">Their parameters are</w:t>
            </w:r>
            <w:r>
              <w:t xml:space="preserve"> </w:t>
            </w:r>
            <w:r>
              <w:rPr>
                <w:b/>
                <w:bCs/>
              </w:rPr>
              <w:t xml:space="preserve">nuisance parameters</w:t>
            </w:r>
            <w:r>
              <w:t xml:space="preserve"> </w:t>
            </w:r>
            <w:r>
              <w:t xml:space="preserve">with no causal interpretation.</w:t>
            </w:r>
          </w:p>
          <w:p>
            <w:pPr>
              <w:pStyle w:val="Compact"/>
              <w:numPr>
                <w:ilvl w:val="0"/>
                <w:numId w:val="1015"/>
              </w:numPr>
            </w:pPr>
            <w:r>
              <w:rPr>
                <w:b/>
                <w:bCs/>
              </w:rPr>
              <w:t xml:space="preserve">Structural models</w:t>
            </w:r>
            <w:r>
              <w:t xml:space="preserve">: models relating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to some feature (e.g., the mean) of the counterfactual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, marginally or within levels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Their treatment parameters</w:t>
            </w:r>
            <w:r>
              <w:t xml:space="preserve"> </w:t>
            </w:r>
            <w:r>
              <w:rPr>
                <w:b/>
                <w:bCs/>
              </w:rPr>
              <w:t xml:space="preserve">do</w:t>
            </w:r>
            <w:r>
              <w:t xml:space="preserve"> </w:t>
            </w:r>
            <w:r>
              <w:t xml:space="preserve">have a causal interpretation.</w:t>
            </w:r>
            <w:r>
              <w:t xml:space="preserve"> </w:t>
            </w:r>
            <w:r>
              <w:t xml:space="preserve">For continuous treatments they are often called</w:t>
            </w:r>
            <w:r>
              <w:t xml:space="preserve"> </w:t>
            </w:r>
            <w:r>
              <w:rPr>
                <w:b/>
                <w:bCs/>
              </w:rPr>
              <w:t xml:space="preserve">dose-response models</w:t>
            </w:r>
            <w:r>
              <w:t xml:space="preserve">.</w:t>
            </w:r>
          </w:p>
          <w:bookmarkEnd w:id="37"/>
        </w:tc>
      </w:tr>
    </w:tbl>
    <w:p>
      <w:pPr>
        <w:pStyle w:val="FirstParagraph"/>
      </w:pPr>
      <w:r>
        <w:t xml:space="preserve">Propensity models have been used for matching and stratification (this chapter), IP weighting (Chapter 12), and g-estimation (Chapter 14).</w:t>
      </w:r>
      <w:r>
        <w:t xml:space="preserve"> </w:t>
      </w:r>
      <w:r>
        <w:t xml:space="preserve">Their parameters lack a causal interpretation because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can be associated for many reasons:</w:t>
      </w:r>
      <w:r>
        <w:t xml:space="preserve"> </w:t>
      </w:r>
      <w:r>
        <w:t xml:space="preserve">the association reflects the effect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under the book’s Figure 7.1, but not under Figures 7.2 and 7.3</w:t>
      </w:r>
      <w:r>
        <w:t xml:space="preserve"> </w:t>
      </w:r>
      <w:r>
        <w:t xml:space="preserve">(Hernán and Robins 2020, 205)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Start w:id="40" w:name="two-classes-of-structural-models"/>
    <w:p>
      <w:pPr>
        <w:pStyle w:val="Heading3"/>
      </w:pPr>
      <w:r>
        <w:t xml:space="preserve">5.1 Two Classes of Structural Models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Marginal structural models</w:t>
      </w:r>
      <w:r>
        <w:t xml:space="preserve">: parameters for treatment, for chosen effect modifiers</w:t>
      </w:r>
      <w:r>
        <w:t xml:space="preserve"> </w:t>
      </w:r>
      <m:oMath>
        <m:r>
          <m:t>V</m:t>
        </m:r>
      </m:oMath>
      <w:r>
        <w:t xml:space="preserve">, and for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V</m:t>
        </m:r>
      </m:oMath>
      <w:r>
        <w:t xml:space="preserve"> </w:t>
      </w:r>
      <w:r>
        <w:t xml:space="preserve">product terms.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reflects only the investigator’s interest in effect modification (Section 12.5).</w:t>
      </w:r>
    </w:p>
    <w:p>
      <w:pPr>
        <w:pStyle w:val="Compact"/>
        <w:numPr>
          <w:ilvl w:val="1"/>
          <w:numId w:val="1017"/>
        </w:numPr>
      </w:pPr>
      <w:r>
        <w:t xml:space="preserve">No</w:t>
      </w:r>
      <w:r>
        <w:t xml:space="preserve"> </w:t>
      </w:r>
      <m:oMath>
        <m:r>
          <m:t>V</m:t>
        </m:r>
      </m:oMath>
      <w:r>
        <w:t xml:space="preserve">: truly marginal.</w:t>
      </w:r>
    </w:p>
    <w:p>
      <w:pPr>
        <w:pStyle w:val="Compact"/>
        <w:numPr>
          <w:ilvl w:val="1"/>
          <w:numId w:val="1017"/>
        </w:numPr>
      </w:pPr>
      <m:oMath>
        <m:r>
          <m:t>V</m:t>
        </m:r>
        <m:r>
          <m:rPr>
            <m:sty m:val="p"/>
          </m:rPr>
          <m:t>=</m:t>
        </m:r>
        <m:r>
          <m:t>L</m:t>
        </m:r>
      </m:oMath>
      <w:r>
        <w:t xml:space="preserve"> </w:t>
      </w:r>
      <w:r>
        <w:t xml:space="preserve">(all covariates): a</w:t>
      </w:r>
      <w:r>
        <w:t xml:space="preserve"> </w:t>
      </w:r>
      <w:r>
        <w:rPr>
          <w:b/>
          <w:bCs/>
        </w:rPr>
        <w:t xml:space="preserve">faux</w:t>
      </w:r>
      <w:r>
        <w:t xml:space="preserve"> </w:t>
      </w:r>
      <w:r>
        <w:t xml:space="preserve">marginal structural model, which is what outcome regression (Section 15.1) estimates.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Structural nested models</w:t>
      </w:r>
      <w:r>
        <w:t xml:space="preserve">: parameters for treatment and for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L</m:t>
        </m:r>
      </m:oMath>
      <w:r>
        <w:t xml:space="preserve"> </w:t>
      </w:r>
      <w:r>
        <w:t xml:space="preserve">product terms for those variables in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that are effect modifiers.</w:t>
      </w:r>
    </w:p>
    <w:p>
      <w:pPr>
        <w:pStyle w:val="FirstParagraph"/>
      </w:pPr>
      <w:r>
        <w:t xml:space="preserve">See Fine Point 14.1 of the book for the relation between structural nested models and faux semiparametric marginal structural models</w:t>
      </w:r>
      <w:r>
        <w:t xml:space="preserve"> </w:t>
      </w:r>
      <w:r>
        <w:t xml:space="preserve">(Hernán and Robins 2020, 206)</w:t>
      </w:r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15.2: Effect Modification and the Propensity Score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18"/>
              </w:numPr>
            </w:pPr>
            <w:r>
              <w:t xml:space="preserve">Matched and unmatched estimates may differ because of</w:t>
            </w:r>
            <w:r>
              <w:t xml:space="preserve"> </w:t>
            </w:r>
            <w:r>
              <w:rPr>
                <w:b/>
                <w:bCs/>
              </w:rPr>
              <w:t xml:space="preserve">effect modification</w:t>
            </w:r>
            <w:r>
              <w:t xml:space="preserve">:</w:t>
            </w:r>
            <w:r>
              <w:t xml:space="preserve"> </w:t>
            </w:r>
            <w:r>
              <w:t xml:space="preserve">when untreated far outnumber treated, matching keeps nearly all treated and drops many untreated,</w:t>
            </w:r>
            <w:r>
              <w:t xml:space="preserve"> </w:t>
            </w:r>
            <w:r>
              <w:t xml:space="preserve">so the matched population resembles the treated and the estimate approaches the</w:t>
            </w:r>
            <w:r>
              <w:t xml:space="preserve"> </w:t>
            </w:r>
            <w:r>
              <w:rPr>
                <w:b/>
                <w:bCs/>
              </w:rPr>
              <w:t xml:space="preserve">effect in the treated</w:t>
            </w:r>
            <w:r>
              <w:t xml:space="preserve"> </w:t>
            </w:r>
            <w:r>
              <w:t xml:space="preserve">(Technical Point 4.1 gives IP weighting and standardization alternatives for that effect).</w:t>
            </w:r>
          </w:p>
          <w:p>
            <w:pPr>
              <w:pStyle w:val="Compact"/>
              <w:numPr>
                <w:ilvl w:val="0"/>
                <w:numId w:val="1018"/>
              </w:numPr>
            </w:pPr>
            <w:r>
              <w:t xml:space="preserve">Effect modification across propensity strata may suggest that decision makers treat those likely to benefit (Kurth et al. 2006, as cited in</w:t>
            </w:r>
            <w:r>
              <w:t xml:space="preserve"> </w:t>
            </w:r>
            <w:r>
              <w:t xml:space="preserve">Hernán and Robins (2020, 206)</w:t>
            </w:r>
            <w:r>
              <w:t xml:space="preserve">),</w:t>
            </w:r>
            <w:r>
              <w:t xml:space="preserve"> </w:t>
            </w:r>
            <w:r>
              <w:t xml:space="preserve">but statements like</w:t>
            </w:r>
            <w:r>
              <w:t xml:space="preserve"> </w:t>
            </w:r>
            <w:r>
              <w:t xml:space="preserve">“beneficial for propensity scores between 0.11 and 0.93”</w:t>
            </w:r>
            <w:r>
              <w:t xml:space="preserve"> </w:t>
            </w:r>
            <w:r>
              <w:t xml:space="preserve">have little policy relevance because they are not expressed in terms of measured variables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18"/>
              </w:numPr>
            </w:pPr>
            <w:r>
              <w:t xml:space="preserve">Other reasons matched and overall estimates may differ: positivity violations among the unmatched, or an unmeasured confounder that is more (or less) prevalent, or better (or worse) measured, in the matched population;</w:t>
            </w:r>
            <w:r>
              <w:t xml:space="preserve"> </w:t>
            </w:r>
            <w:r>
              <w:t xml:space="preserve">apparent effect modification may reflect different residual confounding across propensity strata.</w:t>
            </w:r>
          </w:p>
          <w:p/>
        </w:tc>
      </w:tr>
    </w:tbl>
    <w:bookmarkEnd w:id="40"/>
    <w:bookmarkStart w:id="41" w:name="Xff0af4979121b5a2033b56ed9cf29993b20bce4"/>
    <w:p>
      <w:pPr>
        <w:pStyle w:val="Heading3"/>
      </w:pPr>
      <w:r>
        <w:t xml:space="preserve">5.2 Causal Versus Predictive Uses of Outcome Regression</w:t>
      </w:r>
    </w:p>
    <w:p>
      <w:pPr>
        <w:pStyle w:val="FirstParagraph"/>
      </w:pPr>
      <w:r>
        <w:t xml:space="preserve">Outcome regression is also widely used for</w:t>
      </w:r>
      <w:r>
        <w:t xml:space="preserve"> </w:t>
      </w:r>
      <w:r>
        <w:rPr>
          <w:b/>
          <w:bCs/>
        </w:rPr>
        <w:t xml:space="preserve">prediction</w:t>
      </w:r>
      <w:r>
        <w:t xml:space="preserve">:</w:t>
      </w:r>
    </w:p>
    <w:p>
      <w:pPr>
        <w:pStyle w:val="Compact"/>
        <w:numPr>
          <w:ilvl w:val="0"/>
          <w:numId w:val="1019"/>
        </w:numPr>
      </w:pPr>
      <w:r>
        <w:t xml:space="preserve">online retailers predicting who will buy;</w:t>
      </w:r>
    </w:p>
    <w:p>
      <w:pPr>
        <w:pStyle w:val="Compact"/>
        <w:numPr>
          <w:ilvl w:val="0"/>
          <w:numId w:val="1019"/>
        </w:numPr>
      </w:pPr>
      <w:r>
        <w:t xml:space="preserve">clinical algorithms identifying patients at high risk.</w:t>
      </w:r>
    </w:p>
    <w:p>
      <w:pPr>
        <w:pStyle w:val="FirstParagraph"/>
      </w:pPr>
      <w:r>
        <w:t xml:space="preserve">There, no variable is</w:t>
      </w:r>
      <w:r>
        <w:t xml:space="preserve"> </w:t>
      </w:r>
      <w:r>
        <w:t xml:space="preserve">“treatment”</w:t>
      </w:r>
      <w:r>
        <w:t xml:space="preserve"> </w:t>
      </w:r>
      <w:r>
        <w:t xml:space="preserve">and the parameters need not have any causal interpretation.</w:t>
      </w:r>
    </w:p>
    <w:p>
      <w:pPr>
        <w:pStyle w:val="BodyText"/>
      </w:pPr>
      <w:r>
        <w:t xml:space="preserve">Example from the book’s margin: Facebook Likes predict sexual orientation, political views, and personality traits (Kosinski et al. 2013, as cited in</w:t>
      </w:r>
      <w:r>
        <w:t xml:space="preserve"> </w:t>
      </w:r>
      <w:r>
        <w:t xml:space="preserve">Hernán and Robins (2020, 206)</w:t>
      </w:r>
      <w:r>
        <w:t xml:space="preserve">);</w:t>
      </w:r>
      <w:r>
        <w:t xml:space="preserve"> </w:t>
      </w:r>
      <w:r>
        <w:t xml:space="preserve">that is prediction, not necessarily causation.</w:t>
      </w:r>
    </w:p>
    <w:p>
      <w:r>
        <w:pict>
          <v:rect style="width:0;height:1.5pt" o:hralign="center" o:hrstd="t" o:hr="t"/>
        </w:pict>
      </w:r>
    </w:p>
    <w:bookmarkEnd w:id="41"/>
    <w:bookmarkStart w:id="43" w:name="X11c077b3ea3320e82c32939cbcc6f310e74a00f"/>
    <w:p>
      <w:pPr>
        <w:pStyle w:val="Heading3"/>
      </w:pPr>
      <w:r>
        <w:t xml:space="preserve">5.3 Variable Selection: Prediction Tools Misapplied</w:t>
      </w:r>
    </w:p>
    <w:p>
      <w:pPr>
        <w:pStyle w:val="FirstParagraph"/>
      </w:pPr>
      <w:r>
        <w:t xml:space="preserve">Forward selection, backward elimination, stepwise selection, and machine learning are built to</w:t>
      </w:r>
      <w:r>
        <w:t xml:space="preserve"> </w:t>
      </w:r>
      <w:r>
        <w:rPr>
          <w:b/>
          <w:bCs/>
        </w:rPr>
        <w:t xml:space="preserve">improve prediction</w:t>
      </w:r>
      <w:r>
        <w:t xml:space="preserve">.</w:t>
      </w:r>
      <w:r>
        <w:t xml:space="preserve"> </w:t>
      </w:r>
      <w:r>
        <w:t xml:space="preserve">Applied to propensity or structural models, they can add superfluous or harmful covariates, causing</w:t>
      </w:r>
    </w:p>
    <w:p>
      <w:pPr>
        <w:pStyle w:val="Compact"/>
        <w:numPr>
          <w:ilvl w:val="0"/>
          <w:numId w:val="1020"/>
        </w:numPr>
      </w:pPr>
      <w:r>
        <w:t xml:space="preserve">inflated variances, and</w:t>
      </w:r>
    </w:p>
    <w:p>
      <w:pPr>
        <w:pStyle w:val="Compact"/>
        <w:numPr>
          <w:ilvl w:val="0"/>
          <w:numId w:val="1020"/>
        </w:numPr>
      </w:pPr>
      <w:r>
        <w:t xml:space="preserve">greater bias.</w:t>
      </w:r>
    </w:p>
    <w:p>
      <w:pPr>
        <w:pStyle w:val="FirstParagraph"/>
      </w:pPr>
      <w:r>
        <w:t xml:space="preserve">The mistaken belief behind this: that a propensity model should predict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 well as possible.</w:t>
      </w:r>
      <w:r>
        <w:t xml:space="preserve"> </w:t>
      </w:r>
      <w:r>
        <w:t xml:space="preserve">It need not; it only needs to include the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that guarantee exchangeability.</w:t>
      </w:r>
    </w:p>
    <w:p>
      <w:pPr>
        <w:pStyle w:val="BodyText"/>
      </w:pPr>
      <w:r>
        <w:t xml:space="preserve">Reporting predictive measures such as Mallows’s</w:t>
      </w:r>
      <w:r>
        <w:t xml:space="preserve"> </w:t>
      </w:r>
      <m:oMath>
        <m:sSub>
          <m:e>
            <m:r>
              <m:t>C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for propensity models is common, but their relevance for causal inference is questionable</w:t>
      </w:r>
      <w:r>
        <w:t xml:space="preserve"> </w:t>
      </w:r>
      <w:r>
        <w:t xml:space="preserve">(Hernán and Robins 2020, 207)</w:t>
      </w:r>
      <w:r>
        <w:t xml:space="preserve">.</w:t>
      </w:r>
      <w:r>
        <w:t xml:space="preserve"> </w:t>
      </w:r>
      <w:r>
        <w:t xml:space="preserve">Covariates strongly associated 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but not needed for exchangeability do not reduce bias;</w:t>
      </w:r>
      <w:r>
        <w:t xml:space="preserve"> </w:t>
      </w:r>
      <w:r>
        <w:t xml:space="preserve">including them can yield very large variances or even amplify existing bias.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42" w:name="exm-hospital"/>
          <w:p>
            <w:pPr>
              <w:pStyle w:val="BodyText"/>
            </w:pPr>
            <w:r>
              <w:rPr>
                <w:b/>
                <w:bCs/>
              </w:rPr>
              <w:t xml:space="preserve">Example 5 (Hospitals Aceso and Panacea)</w:t>
            </w:r>
            <w:r>
              <w:t xml:space="preserve"> </w:t>
            </w:r>
            <w:r>
              <w:t xml:space="preserve">Everyone attends hospital Aceso, where 99% receive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 or hospital Panacea, where 99% receive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Hospital affects the outcome only through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so it is not needed for exchangeability</w:t>
            </w:r>
            <w:r>
              <w:t xml:space="preserve"> </w:t>
            </w:r>
            <w:r>
              <w:t xml:space="preserve">(Hernán and Robins 2020, 207)</w:t>
            </w:r>
            <w:r>
              <w:t xml:space="preserve">.</w:t>
            </w:r>
          </w:p>
          <w:p>
            <w:pPr>
              <w:pStyle w:val="Compact"/>
              <w:numPr>
                <w:ilvl w:val="0"/>
                <w:numId w:val="1021"/>
              </w:numPr>
            </w:pPr>
            <w:r>
              <w:t xml:space="preserve">Adding Hospital to the propensity model gives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≈</m:t>
              </m:r>
              <m:r>
                <m:t>0.99</m:t>
              </m:r>
            </m:oMath>
            <w:r>
              <w:t xml:space="preserve"> </w:t>
            </w:r>
            <w:r>
              <w:t xml:space="preserve">in Aceso and</w:t>
            </w:r>
            <w:r>
              <w:t xml:space="preserve"> </w:t>
            </w:r>
            <m:oMath>
              <m:r>
                <m:rPr>
                  <m:sty m:val="p"/>
                </m:rPr>
                <m:t>≈</m:t>
              </m:r>
              <m:r>
                <m:t>0.01</m:t>
              </m:r>
            </m:oMath>
            <w:r>
              <w:t xml:space="preserve"> </w:t>
            </w:r>
            <w:r>
              <w:t xml:space="preserve">in Panacea in the target population.</w:t>
            </w:r>
          </w:p>
          <w:p>
            <w:pPr>
              <w:pStyle w:val="Compact"/>
              <w:numPr>
                <w:ilvl w:val="0"/>
                <w:numId w:val="1021"/>
              </w:numPr>
            </w:pPr>
            <w:r>
              <w:t xml:space="preserve">By chance, some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-strata of the study population may then contain only treated (Aceso) or only untreated (Panacea) individuals.</w:t>
            </w:r>
          </w:p>
          <w:p>
            <w:pPr>
              <w:pStyle w:val="Compact"/>
              <w:numPr>
                <w:ilvl w:val="0"/>
                <w:numId w:val="1021"/>
              </w:numPr>
            </w:pPr>
            <w:r>
              <w:t xml:space="preserve">Result: a near-infinite variance with</w:t>
            </w:r>
            <w:r>
              <w:t xml:space="preserve"> </w:t>
            </w:r>
            <w:r>
              <w:rPr>
                <w:b/>
                <w:bCs/>
              </w:rPr>
              <w:t xml:space="preserve">no</w:t>
            </w:r>
            <w:r>
              <w:t xml:space="preserve"> </w:t>
            </w:r>
            <w:r>
              <w:t xml:space="preserve">reduction in confounding.</w:t>
            </w:r>
            <w:r>
              <w:t xml:space="preserve"> </w:t>
            </w:r>
            <w:r>
              <w:t xml:space="preserve">That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is now well predicted is irrelevant.</w:t>
            </w:r>
          </w:p>
          <w:bookmarkEnd w:id="42"/>
        </w:tc>
      </w:tr>
    </w:tbl>
    <w:p>
      <w:pPr>
        <w:pStyle w:val="FirstParagraph"/>
      </w:pPr>
      <w:r>
        <w:t xml:space="preserve">In the limit of perfect prediction, every treated individual has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every untreated individual has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there is no overlap and the analysis is impossible</w:t>
      </w:r>
      <w:r>
        <w:t xml:space="preserve"> </w:t>
      </w:r>
      <w:r>
        <w:t xml:space="preserve">(Hernán and Robins 2020, 207)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43"/>
    <w:bookmarkStart w:id="44" w:name="X0f44b93a9159b30b472d6c73719fdf994fdbee8"/>
    <w:p>
      <w:pPr>
        <w:pStyle w:val="Heading3"/>
      </w:pPr>
      <w:r>
        <w:t xml:space="preserve">5.4 Self-Inflicted Bias and Model Specification</w:t>
      </w:r>
    </w:p>
    <w:p>
      <w:pPr>
        <w:pStyle w:val="Compact"/>
        <w:numPr>
          <w:ilvl w:val="0"/>
          <w:numId w:val="1022"/>
        </w:numPr>
      </w:pPr>
      <w:r>
        <w:t xml:space="preserve">Including</w:t>
      </w:r>
      <w:r>
        <w:t xml:space="preserve"> </w:t>
      </w:r>
      <w:r>
        <w:rPr>
          <w:b/>
          <w:bCs/>
        </w:rPr>
        <w:t xml:space="preserve">colliders</w:t>
      </w:r>
      <w:r>
        <w:t xml:space="preserve"> </w:t>
      </w:r>
      <w:r>
        <w:t xml:space="preserve">can cause systematic bias, even though colliders may be good predictors.</w:t>
      </w:r>
    </w:p>
    <w:p>
      <w:pPr>
        <w:pStyle w:val="Compact"/>
        <w:numPr>
          <w:ilvl w:val="0"/>
          <w:numId w:val="1022"/>
        </w:numPr>
      </w:pPr>
      <w:r>
        <w:t xml:space="preserve">Including</w:t>
      </w:r>
      <w:r>
        <w:t xml:space="preserve"> </w:t>
      </w:r>
      <w:r>
        <w:rPr>
          <w:b/>
          <w:bCs/>
        </w:rPr>
        <w:t xml:space="preserve">instruments</w:t>
      </w:r>
      <w:r>
        <w:t xml:space="preserve"> </w:t>
      </w:r>
      <w:r>
        <w:t xml:space="preserve">(Chapter 16) can amplify bias from unmeasured confounders.</w:t>
      </w:r>
    </w:p>
    <w:p>
      <w:pPr>
        <w:pStyle w:val="Compact"/>
        <w:numPr>
          <w:ilvl w:val="0"/>
          <w:numId w:val="1022"/>
        </w:numPr>
      </w:pPr>
      <w:r>
        <w:t xml:space="preserve">Chapter 18 returns to these issues.</w:t>
      </w:r>
    </w:p>
    <w:p>
      <w:pPr>
        <w:pStyle w:val="FirstParagraph"/>
      </w:pPr>
      <w:r>
        <w:t xml:space="preserve">Both propensity and structural models require a correctly specified functional form for the covariates (flexible terms such as cubic splines help),</w:t>
      </w:r>
      <w:r>
        <w:t xml:space="preserve"> </w:t>
      </w:r>
      <w:r>
        <w:t xml:space="preserve">plus exchangeability, positivity, and well-defined interventions.</w:t>
      </w:r>
      <w:r>
        <w:t xml:space="preserve"> </w:t>
      </w:r>
      <w:r>
        <w:t xml:space="preserve">Chapter 16 presents a method that does not require exchangeability of treatment.</w:t>
      </w:r>
    </w:p>
    <w:bookmarkEnd w:id="44"/>
    <w:bookmarkEnd w:id="45"/>
    <w:bookmarkStart w:id="49" w:name="summary"/>
    <w:p>
      <w:pPr>
        <w:pStyle w:val="Heading2"/>
      </w:pPr>
      <w:r>
        <w:t xml:space="preserve">6 Summary</w:t>
      </w:r>
    </w:p>
    <w:p>
      <w:r>
        <w:pict>
          <v:rect style="width:0;height:1.5pt" o:hralign="center" o:hrstd="t" o:hr="t"/>
        </w:pic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12"/>
        <w:gridCol w:w="3168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Model used</w:t>
            </w:r>
          </w:p>
        </w:tc>
        <w:tc>
          <w:tcPr/>
          <w:p>
            <w:pPr>
              <w:pStyle w:val="Compact"/>
            </w:pPr>
            <w:r>
              <w:t xml:space="preserve">Requires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Outcome regression</w:t>
            </w:r>
            <w:r>
              <w:t xml:space="preserve"> </w:t>
            </w:r>
            <w:r>
              <w:t xml:space="preserve">(faux MSM)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</m:e>
              </m:d>
              <m:r>
                <m:t>​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Correct outcome model (nuisance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3</m:t>
                  </m:r>
                </m:sub>
              </m:sSub>
            </m:oMath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G-estimation</w:t>
            </w:r>
            <w:r>
              <w:t xml:space="preserve"> </w:t>
            </w:r>
            <w:r>
              <w:t xml:space="preserve">(SNM)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Correct treatment model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Propensity stratification / outcome regression on</w:t>
            </w:r>
            <w:r>
              <w:rPr>
                <w:b/>
                <w:bCs/>
              </w:rP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</w:pP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L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oMath>
          </w:p>
        </w:tc>
        <w:tc>
          <w:tcPr/>
          <w:p>
            <w:pPr>
              <w:pStyle w:val="Compact"/>
            </w:pPr>
            <w:r>
              <w:t xml:space="preserve">Correct propensity model and correct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-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relation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Propensity standardization</w:t>
            </w:r>
          </w:p>
        </w:tc>
        <w:tc>
          <w:tcPr/>
          <w:p>
            <w:pPr>
              <w:pStyle w:val="Compact"/>
            </w:pPr>
            <w:r>
              <w:t xml:space="preserve">as above</w:t>
            </w:r>
          </w:p>
        </w:tc>
        <w:tc>
          <w:tcPr/>
          <w:p>
            <w:pPr>
              <w:pStyle w:val="Compact"/>
            </w:pPr>
            <w:r>
              <w:t xml:space="preserve">as above; targets the population effect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Propensity matching</w:t>
            </w:r>
          </w:p>
        </w:tc>
        <w:tc>
          <w:tcPr/>
          <w:p>
            <w:pPr>
              <w:pStyle w:val="Compact"/>
            </w:pP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Correct propensity model; estimate refers to the matched population</w:t>
            </w:r>
          </w:p>
        </w:tc>
      </w:tr>
    </w:tbl>
    <w:p>
      <w:pPr>
        <w:pStyle w:val="BodyText"/>
      </w:pPr>
      <w:r>
        <w:t xml:space="preserve">NHEFS estimates of the effect of smoking cessation on weight gain (kg):</w:t>
      </w:r>
    </w:p>
    <w:p>
      <w:pPr>
        <w:pStyle w:val="Compact"/>
        <w:numPr>
          <w:ilvl w:val="0"/>
          <w:numId w:val="1023"/>
        </w:numPr>
      </w:pPr>
      <w:r>
        <w:t xml:space="preserve">outcome regression, no product terms: 3.5 (2.6, 4.3);</w:t>
      </w:r>
    </w:p>
    <w:p>
      <w:pPr>
        <w:pStyle w:val="Compact"/>
        <w:numPr>
          <w:ilvl w:val="0"/>
          <w:numId w:val="1023"/>
        </w:numPr>
      </w:pPr>
      <w:r>
        <w:t xml:space="preserve">propensity deciles, no product terms: 3.5 (2.6, 4.4);</w:t>
      </w:r>
    </w:p>
    <w:p>
      <w:pPr>
        <w:pStyle w:val="Compact"/>
        <w:numPr>
          <w:ilvl w:val="0"/>
          <w:numId w:val="1023"/>
        </w:numPr>
      </w:pPr>
      <w:r>
        <w:t xml:space="preserve">continuous propensity score: 3.6 (2.7, 4.5);</w:t>
      </w:r>
    </w:p>
    <w:p>
      <w:pPr>
        <w:pStyle w:val="Compact"/>
        <w:numPr>
          <w:ilvl w:val="0"/>
          <w:numId w:val="1023"/>
        </w:numPr>
      </w:pPr>
      <w:r>
        <w:t xml:space="preserve">standardized over the propensity score: 3.6 (2.7, 4.6).</w:t>
      </w:r>
    </w:p>
    <w:p>
      <w:pPr>
        <w:pStyle w:val="FirstParagraph"/>
      </w:pPr>
      <w:r>
        <w:rPr>
          <w:b/>
          <w:bCs/>
        </w:rPr>
        <w:t xml:space="preserve">Takeaways</w:t>
      </w:r>
      <w:r>
        <w:t xml:space="preserve"> </w:t>
      </w:r>
      <w:r>
        <w:t xml:space="preserve">(Hernán and Robins 2020, 199–208)</w:t>
      </w:r>
      <w:r>
        <w:t xml:space="preserve">:</w:t>
      </w:r>
    </w:p>
    <w:p>
      <w:pPr>
        <w:pStyle w:val="Compact"/>
        <w:numPr>
          <w:ilvl w:val="0"/>
          <w:numId w:val="1024"/>
        </w:numPr>
      </w:pPr>
      <w:r>
        <w:t xml:space="preserve">Outcome regression and propensity score methods need the same identifying conditions as the g-methods, plus correct nuisance models.</w:t>
      </w:r>
    </w:p>
    <w:p>
      <w:pPr>
        <w:pStyle w:val="Compact"/>
        <w:numPr>
          <w:ilvl w:val="0"/>
          <w:numId w:val="1024"/>
        </w:numPr>
      </w:pPr>
      <w:r>
        <w:t xml:space="preserve">The propensity score balances measured covariates only.</w:t>
      </w:r>
    </w:p>
    <w:p>
      <w:pPr>
        <w:pStyle w:val="Compact"/>
        <w:numPr>
          <w:ilvl w:val="0"/>
          <w:numId w:val="1024"/>
        </w:numPr>
      </w:pPr>
      <w:r>
        <w:t xml:space="preserve">Matching guarantees positivity automatically but can produce a target population that is hard to characterize;</w:t>
      </w:r>
      <w:r>
        <w:t xml:space="preserve"> </w:t>
      </w:r>
      <w:r>
        <w:t xml:space="preserve">restricting on real-world variables is preferable.</w:t>
      </w:r>
    </w:p>
    <w:p>
      <w:pPr>
        <w:pStyle w:val="Compact"/>
        <w:numPr>
          <w:ilvl w:val="0"/>
          <w:numId w:val="1024"/>
        </w:numPr>
      </w:pPr>
      <w:r>
        <w:t xml:space="preserve">Propensity models should include the variables needed for exchangeability, not the best predictors of treatment.</w:t>
      </w:r>
    </w:p>
    <w:p>
      <w:pPr>
        <w:pStyle w:val="Compact"/>
        <w:numPr>
          <w:ilvl w:val="0"/>
          <w:numId w:val="1024"/>
        </w:numPr>
      </w:pPr>
      <w:r>
        <w:t xml:space="preserve">Unlike the g-methods, these methods do not extend readily to time-varying treatments (Part III).</w:t>
      </w:r>
    </w:p>
    <w:bookmarkStart w:id="48" w:name="refs"/>
    <w:bookmarkStart w:id="47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46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47"/>
    <w:bookmarkEnd w:id="48"/>
    <w:bookmarkEnd w:id="4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3" Target="media/rId13.png" /><Relationship Type="http://schemas.openxmlformats.org/officeDocument/2006/relationships/hyperlink" Id="rId46" Target="https://miguelhernan.org/whatifbook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6" Target="https://miguelhernan.org/whatifbook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15: Outcome Regression and Propensity Scores</dc:title>
  <dc:creator/>
  <cp:keywords/>
  <dcterms:created xsi:type="dcterms:W3CDTF">2026-10-02T17:07:09Z</dcterms:created>
  <dcterms:modified xsi:type="dcterms:W3CDTF">2026-10-02T17:07:09Z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knitr">
    <vt:lpwstr/>
  </property>
  <property fmtid="{D5CDD505-2E9C-101B-9397-08002B2CF9AE}" pid="12" name="labels">
    <vt:lpwstr/>
  </property>
  <property fmtid="{D5CDD505-2E9C-101B-9397-08002B2CF9AE}" pid="13" name="number-depth">
    <vt:lpwstr>3</vt:lpwstr>
  </property>
  <property fmtid="{D5CDD505-2E9C-101B-9397-08002B2CF9AE}" pid="14" name="preview-changed">
    <vt:lpwstr>True</vt:lpwstr>
  </property>
  <property fmtid="{D5CDD505-2E9C-101B-9397-08002B2CF9AE}" pid="15" name="toc-title">
    <vt:lpwstr>Table of contents</vt:lpwstr>
  </property>
</Properties>
</file>