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rPr>
          <w:b/>
          <w:bCs/>
        </w:rPr>
        <w:t xml:space="preserve">treatment-confounder feedback</w:t>
      </w:r>
      <w:r>
        <w:t xml:space="preserve">.</w:t>
      </w:r>
      <w:r>
        <w:t xml:space="preserve"> </w:t>
      </w:r>
      <w:r>
        <w:t xml:space="preserve">When it is present,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treatment-confounder feedback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with treatment-confounder feedback,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(or shares causes with)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17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sequentially randomized HIV trial of Chapter 19: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(1: treated, 0: untreated) at each month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cell count) at each month;</w:t>
      </w:r>
    </w:p>
    <w:p>
      <w:pPr>
        <w:pStyle w:val="Compact"/>
        <w:numPr>
          <w:ilvl w:val="0"/>
          <w:numId w:val="1001"/>
        </w:numPr>
      </w:pPr>
      <w:r>
        <w:t xml:space="preserve">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measuring health status at month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time-varying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time-varying confounders:</w:t>
      </w:r>
      <w:r>
        <w:t xml:space="preserve"> </w:t>
      </w:r>
      <w:r>
        <w:t xml:space="preserve">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In addition,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 future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 the time-varying confounder affects treatment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earlier treatment affects the confounder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):</w:t>
            </w:r>
            <w:r>
              <w:t xml:space="preserve"> </w:t>
            </w:r>
            <w:r>
              <w:t xml:space="preserve">“the confounder affects the treatment and the treatment affects the confounder”</w:t>
            </w:r>
            <w:r>
              <w:t xml:space="preserve"> </w:t>
            </w:r>
            <w:r>
              <w:t xml:space="preserve">(Hernán and Robins 2020, 267)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3" w:name="X614b052fd0cc8cc0d9a6c50148e25524f975b12"/>
    <w:p>
      <w:pPr>
        <w:pStyle w:val="Heading3"/>
      </w:pPr>
      <w:r>
        <w:t xml:space="preserve">1.1 Time-Varying Confounding Without Feedback</w:t>
      </w:r>
    </w:p>
    <w:p>
      <w:pPr>
        <w:pStyle w:val="FirstParagraph"/>
      </w:pPr>
      <w:r>
        <w:t xml:space="preserve">Time-varying confounding can occur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treatment-confounder feedback.</w:t>
      </w:r>
      <w:r>
        <w:t xml:space="preserve"> </w:t>
      </w:r>
      <w:r>
        <w:t xml:space="preserve">In the book’s Figure 20.2, the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to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deleted: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still confounds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but it is not affected by prior treatment.</w:t>
      </w:r>
      <w:r>
        <w:t xml:space="preserve"> </w:t>
      </w:r>
      <w:r>
        <w:t xml:space="preserve">There is time-varying confounding but no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he-simplest-case-figure-20.3"/>
    <w:p>
      <w:pPr>
        <w:pStyle w:val="Heading3"/>
      </w:pPr>
      <w:r>
        <w:t xml:space="preserve">1.2 The Simplest Case: Figure 20.3</w:t>
      </w:r>
    </w:p>
    <w:p>
      <w:pPr>
        <w:pStyle w:val="FirstParagraph"/>
      </w:pPr>
      <w:r>
        <w:t xml:space="preserve">The smallest diagram that shows treatment-confounder feedback in a two-time-point</w:t>
      </w:r>
      <w:r>
        <w:t xml:space="preserve"> </w:t>
      </w:r>
      <w:r>
        <w:t xml:space="preserve">sequentially randomized trial is the book’s Figure 20.3.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makes four simplifications relative to Figure 20.1:</w:t>
      </w:r>
    </w:p>
    <w:p>
      <w:pPr>
        <w:pStyle w:val="Compact"/>
        <w:numPr>
          <w:ilvl w:val="0"/>
          <w:numId w:val="1002"/>
        </w:numPr>
      </w:pPr>
      <w:r>
        <w:t xml:space="preserve">no baseline node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marginally randomized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randomized conditional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 treatment at time 1 is assigned using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02"/>
        </w:numPr>
      </w:pPr>
      <w:r>
        <w:t xml:space="preserve">no 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: the</w:t>
      </w:r>
      <w:r>
        <w:t xml:space="preserve"> </w:t>
      </w:r>
      <w:r>
        <w:rPr>
          <w:b/>
          <w:bCs/>
        </w:rPr>
        <w:t xml:space="preserve">sharp null</w:t>
      </w:r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p>
      <w:pPr>
        <w:pStyle w:val="BodyText"/>
      </w:pPr>
      <w:r>
        <w:t xml:space="preserve">Because Figure 20.3 has no forward-directed path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true average causal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 are no arrows from 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 the treatments,</w:t>
      </w:r>
      <w:r>
        <w:t xml:space="preserve"> </w:t>
      </w:r>
      <w:r>
        <w:t xml:space="preserve">so Figure 20.3 can represent a sequentially randomized trial</w:t>
      </w:r>
      <w:r>
        <w:t xml:space="preserve"> </w:t>
      </w:r>
      <w:r>
        <w:t xml:space="preserve">(or an observational study with no unmeasured confounding),</w:t>
      </w:r>
      <w:r>
        <w:t xml:space="preserve"> </w:t>
      </w:r>
      <w:r>
        <w:t xml:space="preserve">and Chapter 19’s results say the observed data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should identify this effect as 0.</w:t>
      </w:r>
    </w:p>
    <w:p>
      <w:r>
        <w:pict>
          <v:rect style="width:0;height:1.5pt" o:hralign="center" o:hrstd="t" o:hr="t"/>
        </w:pict>
      </w:r>
    </w:p>
    <w:bookmarkEnd w:id="14"/>
    <w:bookmarkStart w:id="16" w:name="X4c924bcc21d8838b3709e69bc4f5d6185a77493"/>
    <w:p>
      <w:pPr>
        <w:pStyle w:val="Heading3"/>
      </w:pPr>
      <w:r>
        <w:t xml:space="preserve">1.3 Feedback Through Shared Causes: Figure 20.4</w:t>
      </w:r>
    </w:p>
    <w:p>
      <w:pPr>
        <w:pStyle w:val="FirstParagraph"/>
      </w:pPr>
      <w:r>
        <w:t xml:space="preserve">The same problem arises when the time-varying confounder is not affected by prior treatment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a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it (the book’s Figure 20.4, a subset of Figure 19.4).</w:t>
      </w:r>
      <w:r>
        <w:t xml:space="preserve"> </w:t>
      </w:r>
      <w:r>
        <w:t xml:space="preserve">Its arrows include, among others,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Figure 20.4 represents an observational study.</w:t>
      </w:r>
      <w:r>
        <w:t xml:space="preserve"> </w:t>
      </w:r>
      <w:r>
        <w:t xml:space="preserve">The book refers to both Figures 20.3 and 20.4 (and 19.2 and 19.4)</w:t>
      </w:r>
      <w:r>
        <w:t xml:space="preserve"> </w:t>
      </w:r>
      <w:r>
        <w:t xml:space="preserve">as examples of treatment-confounder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outcome regression, matching)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15"/>
        </w:tc>
      </w:tr>
    </w:tbl>
    <w:bookmarkEnd w:id="16"/>
    <w:bookmarkEnd w:id="17"/>
    <w:bookmarkStart w:id="23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hypothetical sequentially randomized trial with 32,000 individuals with HIV</w:t>
      </w:r>
      <w:r>
        <w:t xml:space="preserve"> </w:t>
      </w:r>
      <w:r>
        <w:t xml:space="preserve">and two time points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(full adherence, no loss to follow-up):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randomly assigned at baseline with probability 0.5;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randomly assigned at month 1 with probability 0.4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</w:t>
      </w:r>
      <w:r>
        <w:t xml:space="preserve"> </w:t>
      </w:r>
      <w:r>
        <w:t xml:space="preserve">and 0.8 if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CD4);</w:t>
      </w:r>
    </w:p>
    <w:p>
      <w:pPr>
        <w:pStyle w:val="Compact"/>
        <w:numPr>
          <w:ilvl w:val="0"/>
          <w:numId w:val="1003"/>
        </w:numPr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, measured at the end of follow-up, is a health score (higher is better).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exm-table-20-1"/>
          <w:p>
            <w:pPr>
              <w:pStyle w:val="BodyText"/>
            </w:pPr>
            <w:r>
              <w:rPr>
                <w:b/>
                <w:bCs/>
              </w:rPr>
              <w:t xml:space="preserve">Example 1 (Table 20.1)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44</w:t>
                  </w:r>
                </w:p>
              </w:tc>
            </w:tr>
          </w:tbl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  <w:r>
              <w:t xml:space="preserve"> </w:t>
            </w:r>
            <w:r>
              <w:t xml:space="preserve">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BodyText"/>
      </w:pPr>
      <w:r>
        <w:t xml:space="preserve">The design probabilities can be read back from the table.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1600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1600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3200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4800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9600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2400</m:t>
        </m:r>
        <m:r>
          <m:rPr>
            <m:sty m:val="p"/>
          </m:rPr>
          <m:t>+</m:t>
        </m:r>
        <m:r>
          <m:t>9600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6400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1600</m:t>
        </m:r>
        <m:r>
          <m:rPr>
            <m:sty m:val="p"/>
          </m:rPr>
          <m:t>+</m:t>
        </m:r>
        <m:r>
          <m:t>6400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individuals have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matching probability 0.5.</w:t>
      </w:r>
    </w:p>
    <w:p>
      <w:pPr>
        <w:pStyle w:val="BodyText"/>
      </w:pPr>
      <w:r>
        <w:t xml:space="preserve">The identifiability conditions hold by design:</w:t>
      </w:r>
      <w:r>
        <w:t xml:space="preserve"> </w:t>
      </w:r>
      <w:r>
        <w:t xml:space="preserve">there are no confounders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only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(so sequential exchangeability holds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positivity holds because no row of the table is empty.</w:t>
      </w:r>
      <w:r>
        <w:t xml:space="preserve"> </w:t>
      </w:r>
      <w:r>
        <w:t xml:space="preserve">If treatment at later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were also affected by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be a time-varying confounder too.</w:t>
      </w:r>
      <w:r>
        <w:t xml:space="preserve"> </w:t>
      </w:r>
      <w:r>
        <w:t xml:space="preserve">Random variability is ignored throughout.</w:t>
      </w:r>
    </w:p>
    <w:p>
      <w:r>
        <w:pict>
          <v:rect style="width:0;height:1.5pt" o:hralign="center" o:hrstd="t" o:hr="t"/>
        </w:pict>
      </w:r>
    </w:p>
    <w:bookmarkStart w:id="21" w:name="X98cd00ae43fb40fcabd2be61abcea9d0cb83742"/>
    <w:p>
      <w:pPr>
        <w:pStyle w:val="Heading3"/>
      </w:pPr>
      <w:r>
        <w:t xml:space="preserve">2.1 Each Treatment, Taken Separately, Has No Effect</w: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In every stratum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mean outcome is the same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(rows 1 vs 2, 3 vs 4, 5 vs 6, 7 vs 8).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 identifiability conditions hold this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randomized,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Averaging rows 1-4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  <m:r>
                    <m:rPr>
                      <m:sty m:val="p"/>
                    </m:rPr>
                    <m:t>+</m:t>
                  </m:r>
                  <m:r>
                    <m:t>9600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12000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336000</m:t>
                  </m:r>
                  <m:r>
                    <m:rPr>
                      <m:sty m:val="p"/>
                    </m:rPr>
                    <m:t>+</m:t>
                  </m:r>
                  <m:r>
                    <m:t>624000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Averaging rows 5-8 (16,000 individuals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4800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1600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8000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608000</m:t>
                  </m:r>
                  <m:r>
                    <m:rPr>
                      <m:sty m:val="p"/>
                    </m:rPr>
                    <m:t>+</m:t>
                  </m:r>
                  <m:r>
                    <m:t>352000</m:t>
                  </m:r>
                </m:num>
                <m:den>
                  <m:r>
                    <m:t>16000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average causal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Under the sharp null, every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equals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two time points, sequential exchangeability for all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reads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(using the fact that for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some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Under sequential exchangeability, testing these conditional independencies is a test of the sharp null: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The first independence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More generally, 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 states that,</w:t>
            </w:r>
            <w:r>
              <w:t xml:space="preserve"> </w:t>
            </w:r>
            <w:r>
              <w:t xml:space="preserve">under sequential randomization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these two independencies hold if and only if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(and therefore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) is the same for all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equal to the distribution (and mean)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Since 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null,</w:t>
      </w:r>
      <w:r>
        <w:t xml:space="preserve"> </w:t>
      </w:r>
      <w:r>
        <w:t xml:space="preserve">the g-null theorem implies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p>
      <w:pPr>
        <w:pStyle w:val="BodyText"/>
      </w:pPr>
      <w:r>
        <w:rPr>
          <w:b/>
          <w:bCs/>
        </w:rPr>
        <w:t xml:space="preserve">Analysis 1: no adjustment for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Compare the 9600 individuals treated at both times (rows 6 and 8)</w:t>
      </w:r>
      <w:r>
        <w:t xml:space="preserve"> </w:t>
      </w:r>
      <w:r>
        <w:t xml:space="preserve">with the 4800 untreated at both times (rows 1 and 3):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3200</m:t>
                  </m:r>
                  <m:r>
                    <m:rPr>
                      <m:sty m:val="p"/>
                    </m:rPr>
                    <m:t>×</m:t>
                  </m:r>
                  <m:r>
                    <m:t>76</m:t>
                  </m:r>
                  <m:r>
                    <m:rPr>
                      <m:sty m:val="p"/>
                    </m:rPr>
                    <m:t>+</m:t>
                  </m:r>
                  <m:r>
                    <m:t>6400</m:t>
                  </m:r>
                  <m:r>
                    <m:rPr>
                      <m:sty m:val="p"/>
                    </m:rPr>
                    <m:t>×</m:t>
                  </m:r>
                  <m:r>
                    <m:t>44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243200</m:t>
                  </m:r>
                  <m:r>
                    <m:rPr>
                      <m:sty m:val="p"/>
                    </m:rPr>
                    <m:t>+</m:t>
                  </m:r>
                  <m:r>
                    <m:t>281600</m:t>
                  </m:r>
                </m:num>
                <m:den>
                  <m:r>
                    <m:t>9600</m:t>
                  </m:r>
                </m:den>
              </m:f>
              <m:r>
                <m:rPr>
                  <m:sty m:val="p"/>
                </m:rPr>
                <m:t>≈</m:t>
              </m:r>
              <m:r>
                <m:t>54.7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84</m:t>
                  </m:r>
                  <m:r>
                    <m:rPr>
                      <m:sty m:val="p"/>
                    </m:rPr>
                    <m:t>+</m:t>
                  </m:r>
                  <m:r>
                    <m:t>2400</m:t>
                  </m:r>
                  <m:r>
                    <m:rPr>
                      <m:sty m:val="p"/>
                    </m:rPr>
                    <m:t>×</m:t>
                  </m:r>
                  <m:r>
                    <m:t>52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201600</m:t>
                  </m:r>
                  <m:r>
                    <m:rPr>
                      <m:sty m:val="p"/>
                    </m:rPr>
                    <m:t>+</m:t>
                  </m:r>
                  <m:r>
                    <m:t>124800</m:t>
                  </m:r>
                </m:num>
                <m:den>
                  <m:r>
                    <m:t>4800</m:t>
                  </m:r>
                </m:den>
              </m:f>
              <m:r>
                <m:rPr>
                  <m:sty m:val="p"/>
                </m:rPr>
                <m:t>=</m:t>
              </m:r>
              <m:r>
                <m:t>68.0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</w:t>
      </w:r>
      <w:r>
        <w:t xml:space="preserve"> </w:t>
      </w:r>
      <m:oMath>
        <m:r>
          <m:t>54.7</m:t>
        </m:r>
        <m:r>
          <m:rPr>
            <m:sty m:val="p"/>
          </m:rPr>
          <m:t>−</m:t>
        </m:r>
        <m:r>
          <m:t>68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is non-null,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not a valid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adjustment for the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needed.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Analysis 2: stratification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compare treated at both times (row 6) with untreated at both times (row 1):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76</m:t>
          </m:r>
          <m:r>
            <m:rPr>
              <m:sty m:val="p"/>
            </m:rPr>
            <m:t>−</m:t>
          </m:r>
          <m:r>
            <m:t>84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(rows 8 and 3):</w:t>
      </w:r>
      <w:r>
        <w:t xml:space="preserve"> </w:t>
      </w:r>
      <m:oMath>
        <m:r>
          <m:t>44</m:t>
        </m:r>
        <m:r>
          <m:rPr>
            <m:sty m:val="p"/>
          </m:rPr>
          <m:t>−</m:t>
        </m:r>
        <m:r>
          <m:t>52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The analysis adjusted for the confounder also gives the wrong answer.</w:t>
      </w:r>
    </w:p>
    <w:p>
      <w:pPr>
        <w:pStyle w:val="BodyText"/>
      </w:pPr>
      <w:r>
        <w:t xml:space="preserve">Because the stratum-specific difference is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 weighted average of the stratum-specific differences can equal the correct value 0.</w:t>
      </w:r>
      <w:r>
        <w:t xml:space="preserve"> </w:t>
      </w:r>
      <w:r>
        <w:t xml:space="preserve">This estimate reflects the bias of traditional methods</w:t>
      </w:r>
      <w:r>
        <w:t xml:space="preserve"> </w:t>
      </w:r>
      <w:r>
        <w:t xml:space="preserve">when there is treatment-confounder feedback</w:t>
      </w:r>
      <w:r>
        <w:t xml:space="preserve"> </w:t>
      </w:r>
      <w:r>
        <w:t xml:space="preserve">(Hernán and Robins 2020, 271)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Preview of Chapter 21.</w:t>
      </w:r>
      <w:r>
        <w:t xml:space="preserve"> </w:t>
      </w:r>
      <w:r>
        <w:t xml:space="preserve">The correct answer can be recovered from the same table by the g-formula,</w:t>
      </w:r>
      <w:r>
        <w:t xml:space="preserve"> </w:t>
      </w:r>
      <w:r>
        <w:t xml:space="preserve">which standardizes over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given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rather than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 Table 20.1,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is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 as it should be.</w:t>
      </w:r>
      <w:r>
        <w:t xml:space="preserve"> </w:t>
      </w:r>
      <w:r>
        <w:t xml:space="preserve">Chapter 21 develops this computation.</w:t>
      </w:r>
    </w:p>
    <w:bookmarkEnd w:id="22"/>
    <w:bookmarkEnd w:id="23"/>
    <w:bookmarkStart w:id="3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three identifiability conditions hold in Table 20.1;</w:t>
      </w:r>
      <w:r>
        <w:t xml:space="preserve"> </w:t>
      </w:r>
      <w:r>
        <w:t xml:space="preserve">the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(immunosuppression level) is not needed</w:t>
      </w:r>
      <w:r>
        <w:t xml:space="preserve"> </w:t>
      </w:r>
      <w:r>
        <w:t xml:space="preserve">because we have data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Yet neither analysis gave the correct answer.</w:t>
      </w:r>
      <w:r>
        <w:t xml:space="preserve"> </w:t>
      </w:r>
      <w:r>
        <w:t xml:space="preserve">The problem is the</w:t>
      </w:r>
      <w:r>
        <w:t xml:space="preserve"> </w:t>
      </w:r>
      <w:r>
        <w:rPr>
          <w:b/>
          <w:bCs/>
        </w:rPr>
        <w:t xml:space="preserve">adjustment method</w:t>
      </w:r>
      <w:r>
        <w:t xml:space="preserve">: stratification cannot handle treatment-confounder feedback.</w:t>
      </w:r>
    </w:p>
    <w:p>
      <w:r>
        <w:pict>
          <v:rect style="width:0;height:1.5pt" o:hralign="center" o:hrstd="t" o:hr="t"/>
        </w:pict>
      </w:r>
    </w:p>
    <w:bookmarkStart w:id="25" w:name="stratification-opens-a-collider-path"/>
    <w:p>
      <w:pPr>
        <w:pStyle w:val="Heading3"/>
      </w:pPr>
      <w:r>
        <w:t xml:space="preserve">3.1 Stratification Opens a Collider Path</w:t>
      </w:r>
    </w:p>
    <w:p>
      <w:pPr>
        <w:pStyle w:val="FirstParagraph"/>
      </w:pP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means estimating the treatment-outcome association</w:t>
      </w:r>
      <w:r>
        <w:t xml:space="preserve"> </w:t>
      </w:r>
      <w:r>
        <w:t xml:space="preserve">separately in the subsets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(high CD4) 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(low CD4).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affected by prior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</m:oMath>
      </m:oMathPara>
    </w:p>
    <w:p>
      <w:pPr>
        <w:pStyle w:val="FirstParagraph"/>
      </w:pPr>
      <w:r>
        <w:t xml:space="preserve">(the book’s Figure 20.5: Figure 20.3 with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conditioned on).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this path</w:t>
      </w:r>
      <w:r>
        <w:t xml:space="preserve"> </w:t>
      </w:r>
      <w:r>
        <w:t xml:space="preserve">and induces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hence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eedback-through-shared-causes"/>
    <w:p>
      <w:pPr>
        <w:pStyle w:val="Heading3"/>
      </w:pPr>
      <w:r>
        <w:t xml:space="preserve">3.2 Feedback Through Shared Causes</w:t>
      </w:r>
    </w:p>
    <w:p>
      <w:pPr>
        <w:pStyle w:val="FirstParagraph"/>
      </w:pPr>
      <w:r>
        <w:t xml:space="preserve">The same bias arises when the confounder 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prior treatment</w:t>
      </w:r>
      <w:r>
        <w:t xml:space="preserve"> </w:t>
      </w:r>
      <w:r>
        <w:t xml:space="preserve">(an observational study, the book’s Figure 20.6):</w:t>
      </w:r>
      <w:r>
        <w:t xml:space="preserve"> </w:t>
      </w:r>
      <w:r>
        <w:t xml:space="preserve">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W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sSub>
            <m:e>
              <m: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settings of Figures 20.3 and 20.4 cannot be distinguished using the observed data,</w:t>
      </w:r>
      <w:r>
        <w:t xml:space="preserve"> </w:t>
      </w:r>
      <w:r>
        <w:t xml:space="preserve">which is why both are called treatment-confounder feedback.</w:t>
      </w:r>
    </w:p>
    <w:p>
      <w:r>
        <w:pict>
          <v:rect style="width:0;height:1.5pt" o:hralign="center" o:hrstd="t" o:hr="t"/>
        </w:pict>
      </w:r>
    </w:p>
    <w:bookmarkEnd w:id="26"/>
    <w:bookmarkStart w:id="29" w:name="X666a238d06930bdbe0e2e9c274fdf9c9786a966"/>
    <w:p>
      <w:pPr>
        <w:pStyle w:val="Heading3"/>
      </w:pPr>
      <w:r>
        <w:t xml:space="preserve">3.3 Beyond the Null and Beyond Two Time Points</w:t>
      </w:r>
    </w:p>
    <w:p>
      <w:pPr>
        <w:pStyle w:val="Compact"/>
        <w:numPr>
          <w:ilvl w:val="0"/>
          <w:numId w:val="1004"/>
        </w:numPr>
      </w:pPr>
      <w:r>
        <w:t xml:space="preserve">The bias is not limited to the sharp null.</w:t>
      </w:r>
      <w:r>
        <w:t xml:space="preserve"> </w:t>
      </w:r>
      <w:r>
        <w:t xml:space="preserve">With a non-null effect (the book’s Figure 20.7, where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),</w:t>
      </w:r>
      <w:r>
        <w:t xml:space="preserve"> </w:t>
      </w:r>
      <w:r>
        <w:t xml:space="preserve">arrows from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 not change the fact</w:t>
      </w:r>
      <w:r>
        <w:t xml:space="preserve"> </w:t>
      </w:r>
      <w:r>
        <w:t xml:space="preserve">that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creates a noncausal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many time points and variables, the bias still arises;</w:t>
      </w:r>
      <w:r>
        <w:t xml:space="preserve"> </w:t>
      </w:r>
      <w:r>
        <w:t xml:space="preserve">confounders affected by prior treatment at multiple times</w:t>
      </w:r>
      <w:r>
        <w:t xml:space="preserve"> </w:t>
      </w:r>
      <w:r>
        <w:t xml:space="preserve">increase the possibility of a large bias.</w:t>
      </w:r>
    </w:p>
    <w:p>
      <w:pPr>
        <w:pStyle w:val="Compact"/>
        <w:numPr>
          <w:ilvl w:val="0"/>
          <w:numId w:val="1004"/>
        </w:numPr>
      </w:pPr>
      <w:r>
        <w:t xml:space="preserve">Valid estimation of a treatment-strategy effect requires estimating</w:t>
      </w:r>
      <w:r>
        <w:t xml:space="preserve"> </w:t>
      </w:r>
      <w:r>
        <w:t xml:space="preserve">the joint effect of all treatment components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simultaneously and without bias,</w:t>
      </w:r>
      <w:r>
        <w:t xml:space="preserve"> </w:t>
      </w:r>
      <w:r>
        <w:t xml:space="preserve">which stratification may be unable to do even with data on all time-varying confounders.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29"/>
    <w:bookmarkEnd w:id="30"/>
    <w:bookmarkStart w:id="33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p>
      <w:pPr>
        <w:pStyle w:val="Compact"/>
        <w:numPr>
          <w:ilvl w:val="0"/>
          <w:numId w:val="1005"/>
        </w:numPr>
      </w:pPr>
      <w:r>
        <w:t xml:space="preserve">With two time points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static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 order of 100 (not unusual in practice),</w:t>
      </w:r>
      <w:r>
        <w:t xml:space="preserve">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static strategies,</w:t>
      </w:r>
      <w:r>
        <w:t xml:space="preserve"> </w:t>
      </w:r>
      <w:r>
        <w:t xml:space="preserve">far more than the sample size of any study,</w:t>
      </w:r>
      <w:r>
        <w:t xml:space="preserve"> </w:t>
      </w:r>
      <w:r>
        <w:t xml:space="preserve">and even more once dynamic strategies are considered.</w:t>
      </w:r>
    </w:p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31" w:name="modeling-is-needed-but-does-not-help"/>
    <w:p>
      <w:pPr>
        <w:pStyle w:val="Heading3"/>
      </w:pPr>
      <w:r>
        <w:t xml:space="preserve">4.1 Modeling Is Needed, but Does Not Help</w:t>
      </w:r>
    </w:p>
    <w:p>
      <w:pPr>
        <w:pStyle w:val="FirstParagraph"/>
      </w:pPr>
      <w:r>
        <w:t xml:space="preserve">As argued since Chapter 11, many possible strategies require</w:t>
      </w:r>
      <w:r>
        <w:t xml:space="preserve"> </w:t>
      </w:r>
      <w:r>
        <w:rPr>
          <w:b/>
          <w:bCs/>
        </w:rPr>
        <w:t xml:space="preserve">modeling</w:t>
      </w:r>
      <w:r>
        <w:t xml:space="preserve">:</w:t>
      </w:r>
      <w:r>
        <w:t xml:space="preserve"> </w:t>
      </w:r>
      <w:r>
        <w:t xml:space="preserve">a dose-response function for the effect of treatment history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on the mean outcome.</w:t>
      </w:r>
      <w:r>
        <w:t xml:space="preserve"> </w:t>
      </w:r>
      <w:r>
        <w:t xml:space="preserve">For example, assume the effect is linear in</w:t>
      </w:r>
      <w:r>
        <w:t xml:space="preserve"> </w:t>
      </w:r>
      <w:r>
        <w:rPr>
          <w:b/>
          <w:bCs/>
        </w:rPr>
        <w:t xml:space="preserve">cumulative treatment</w:t>
      </w:r>
      <w:r>
        <w:t xml:space="preserve">,</w:t>
      </w:r>
      <w:r>
        <w:t xml:space="preserve"> </w:t>
      </w:r>
      <w:r>
        <w:t xml:space="preserve">so every strategy with exactly three months of treatment has the same effect,</w:t>
      </w:r>
      <w:r>
        <w:t xml:space="preserve"> </w:t>
      </w:r>
      <w:r>
        <w:t xml:space="preserve">whenever those three months occur.</w:t>
      </w:r>
      <w:r>
        <w:t xml:space="preserve"> </w:t>
      </w:r>
      <w:r>
        <w:t xml:space="preserve">The price is a new threat to validity: misspecification of the dose-response model.</w:t>
      </w:r>
    </w:p>
    <w:p>
      <w:pPr>
        <w:pStyle w:val="BodyText"/>
      </w:pPr>
      <w:r>
        <w:t xml:space="preserve">Paying that price buys no protection.</w:t>
      </w:r>
      <w:r>
        <w:t xml:space="preserve"> </w:t>
      </w:r>
      <w:r>
        <w:t xml:space="preserve">Regression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 conventional stratification-based method,</w:t>
      </w:r>
      <w:r>
        <w:t xml:space="preserve"> </w:t>
      </w:r>
      <w:r>
        <w:t xml:space="preserve">so it cannot remove the bias of stratification under treatment-confounder feedback.</w:t>
      </w:r>
    </w:p>
    <w:p>
      <w:r>
        <w:pict>
          <v:rect style="width:0;height:1.5pt" o:hralign="center" o:hrstd="t" o:hr="t"/>
        </w:pict>
      </w:r>
    </w:p>
    <w:bookmarkEnd w:id="31"/>
    <w:bookmarkStart w:id="32" w:name="X46b002a6b5a876ad08fa3e294ba33816233325d"/>
    <w:p>
      <w:pPr>
        <w:pStyle w:val="Heading3"/>
      </w:pPr>
      <w:r>
        <w:t xml:space="preserve">4.2 Example: A Cumulative-Treatment Regression</w:t>
      </w:r>
    </w:p>
    <w:p>
      <w:pPr>
        <w:pStyle w:val="FirstParagraph"/>
      </w:pPr>
      <w:r>
        <w:t xml:space="preserve">For data generated under Figure 20.5, define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whose true value is 0.</w:t>
      </w:r>
    </w:p>
    <w:p>
      <w:pPr>
        <w:pStyle w:val="BodyText"/>
      </w:pPr>
      <w:r>
        <w:t xml:space="preserve">Fit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nor/>
              <m:sty m:val="p"/>
            </m:rPr>
            <m:t>cum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Within either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nor/>
                      <m:sty m:val="p"/>
                    </m:rPr>
                    <m:t>cum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is tempting to read</w:t>
      </w:r>
      <w:r>
        <w:t xml:space="preserve"> </w:t>
      </w:r>
      <m:oMath>
        <m:r>
          <m:t>2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the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within levels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But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induces an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(a component of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)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even though the true effect is zero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The bias comes from conditioning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from the form of the model or from the sample size:</w:t>
      </w:r>
      <w:r>
        <w:t xml:space="preserve"> </w:t>
      </w:r>
      <w:r>
        <w:t xml:space="preserve">it would persist with unlimited data.</w:t>
      </w:r>
    </w:p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p>
      <w:pPr>
        <w:pStyle w:val="BodyText"/>
      </w:pPr>
      <w:r>
        <w:t xml:space="preserve">The book states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non-zero</w:t>
      </w:r>
      <w:r>
        <w:t xml:space="preserve"> </w:t>
      </w:r>
      <w:r>
        <w:t xml:space="preserve">“even if the true causal effect is zero and the regression model for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correct”</w:t>
      </w:r>
      <w:r>
        <w:t xml:space="preserve"> </w:t>
      </w:r>
      <w:r>
        <w:t xml:space="preserve">(Hernán and Robins 2020, 274)</w:t>
      </w:r>
      <w:r>
        <w:t xml:space="preserve">.</w:t>
      </w:r>
      <w:r>
        <w:t xml:space="preserve"> </w:t>
      </w:r>
      <w:r>
        <w:t xml:space="preserve">Under Figure 20.5, the cumulative-treatment model itself cannot be the correct one.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 correct model for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term,</w:t>
      </w:r>
      <w:r>
        <w:t xml:space="preserve"> </w:t>
      </w:r>
      <w:r>
        <w:t xml:space="preserve">whereas</w:t>
      </w:r>
      <w:r>
        <w:t xml:space="preserve"> </w:t>
      </w:r>
      <m:oMath>
        <m:r>
          <m:rPr>
            <m:nor/>
            <m:sty m:val="p"/>
          </m:rPr>
          <m:t>cum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share the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data in Table 20.1 illustrate this.</w:t>
      </w:r>
      <w:r>
        <w:t xml:space="preserve"> </w:t>
      </w:r>
      <w:r>
        <w:t xml:space="preserve">Their cell means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only, and they are fit exactly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84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32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reproduces all four distinct cell means: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52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76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84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r>
          <m:t>44</m:t>
        </m:r>
      </m:oMath>
      <w:r>
        <w:t xml:space="preserve">.</w:t>
      </w:r>
    </w:p>
    <w:p>
      <w:pPr>
        <w:pStyle w:val="FirstParagraph"/>
      </w:pPr>
      <w:r>
        <w:t xml:space="preserve">The conclusion is unchanged:</w:t>
      </w:r>
      <w:r>
        <w:t xml:space="preserve"> </w:t>
      </w:r>
      <w:r>
        <w:t xml:space="preserve">even this correctly specified model gives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non-zero coefficient (</w:t>
      </w:r>
      <m:oMath>
        <m:r>
          <m:rPr>
            <m:sty m:val="p"/>
          </m:rPr>
          <m:t>−</m:t>
        </m:r>
        <m:r>
          <m:t>8</m:t>
        </m:r>
      </m:oMath>
      <w:r>
        <w:t xml:space="preserve">)</w:t>
      </w:r>
      <w:r>
        <w:t xml:space="preserve"> </w:t>
      </w:r>
      <w:r>
        <w:t xml:space="preserve">although the true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zero,</w:t>
      </w:r>
      <w:r>
        <w:t xml:space="preserve"> </w:t>
      </w:r>
      <w:r>
        <w:t xml:space="preserve">because the model conditions on the collider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32"/>
    <w:bookmarkEnd w:id="33"/>
    <w:bookmarkStart w:id="38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 far the diagrams had no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Now suppose doctors use past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when deciding on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Figures 20.3 and 20.4 gives the book’s Figures 20.8 and 20.9.</w:t>
      </w:r>
    </w:p>
    <w:p>
      <w:pPr>
        <w:pStyle w:val="BodyText"/>
      </w:pPr>
      <w:r>
        <w:t xml:space="preserve">With treatment-confounder feedback,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no longer blocks</w:t>
      </w:r>
      <w:r>
        <w:t xml:space="preserve"> </w:t>
      </w:r>
      <w:r>
        <w:t xml:space="preserve">all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 it opens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20.8)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(Figure 20.9)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And whenever past treatment affects the outcome (Figure 20.10),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confounder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feedback or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34"/>
        </w:tc>
      </w:tr>
    </w:tbl>
    <w:p>
      <w:r>
        <w:pict>
          <v:rect style="width:0;height:1.5pt" o:hralign="center" o:hrstd="t" o:hr="t"/>
        </w:pict>
      </w:r>
    </w:p>
    <w:bookmarkStart w:id="35" w:name="past-treatment-and-time-fixed-treatments"/>
    <w:p>
      <w:pPr>
        <w:pStyle w:val="Heading3"/>
      </w:pPr>
      <w:r>
        <w:t xml:space="preserve">5.1 Past Treatment and Time-Fixed Treatments</w:t>
      </w:r>
    </w:p>
    <w:p>
      <w:pPr>
        <w:pStyle w:val="FirstParagraph"/>
      </w:pPr>
      <w:r>
        <w:t xml:space="preserve">Suppose the target is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(sometimes called the</w:t>
      </w:r>
      <w:r>
        <w:t xml:space="preserve"> </w:t>
      </w:r>
      <w:r>
        <w:rPr>
          <w:b/>
          <w:bCs/>
        </w:rPr>
        <w:t xml:space="preserve">short-term effect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).</w:t>
      </w:r>
      <w:r>
        <w:t xml:space="preserve"> </w:t>
      </w:r>
      <w:r>
        <w:t xml:space="preserve">Without adjustment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with treatment-confounder feedback, there is selection bias;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 there is confounding.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need not be zero</w:t>
      </w:r>
      <w:r>
        <w:t xml:space="preserve"> </w:t>
      </w:r>
      <w:r>
        <w:t xml:space="preserve">even 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no effect on anyone’s outcome (Figures 20.8-20.10).</w:t>
      </w:r>
    </w:p>
    <w:p>
      <w:pPr>
        <w:pStyle w:val="BodyText"/>
      </w:pPr>
      <w:r>
        <w:t xml:space="preserve">In practice, this bias can arise in analyses comparing current 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with nonusers (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of a time-fixed treatment.</w:t>
      </w:r>
      <w:r>
        <w:t xml:space="preserve"> </w:t>
      </w:r>
      <w:r>
        <w:t xml:space="preserve">It can be avoided by adjusting for prior treatment history</w:t>
      </w:r>
      <w:r>
        <w:t xml:space="preserve"> </w:t>
      </w:r>
      <w:r>
        <w:t xml:space="preserve">or by restricting to individuals with a particular treatment history.</w:t>
      </w:r>
      <w:r>
        <w:t xml:space="preserve"> </w:t>
      </w:r>
      <w:r>
        <w:t xml:space="preserve">This restriction is the idea behind</w:t>
      </w:r>
      <w:r>
        <w:t xml:space="preserve"> </w:t>
      </w:r>
      <w:r>
        <w:rPr>
          <w:b/>
          <w:bCs/>
        </w:rPr>
        <w:t xml:space="preserve">new-user designs</w:t>
      </w:r>
      <w:r>
        <w:t xml:space="preserve">:</w:t>
      </w:r>
      <w:r>
        <w:t xml:space="preserve"> </w:t>
      </w:r>
      <w:r>
        <w:t xml:space="preserve">restrict the analysis to individuals with no past use of the treatment.</w:t>
      </w:r>
      <w:r>
        <w:t xml:space="preserve"> </w:t>
      </w:r>
      <w:r>
        <w:t xml:space="preserve">If past treatment could be correctly adjusted for,</w:t>
      </w:r>
      <w:r>
        <w:t xml:space="preserve"> </w:t>
      </w:r>
      <w:r>
        <w:t xml:space="preserve">the restriction to new users would be unnecessary.</w:t>
      </w:r>
    </w:p>
    <w:p>
      <w:r>
        <w:pict>
          <v:rect style="width:0;height:1.5pt" o:hralign="center" o:hrstd="t" o:hr="t"/>
        </w:pict>
      </w:r>
    </w:p>
    <w:bookmarkEnd w:id="35"/>
    <w:bookmarkStart w:id="37" w:name="mismeasured-past-treatment"/>
    <w:p>
      <w:pPr>
        <w:pStyle w:val="Heading3"/>
      </w:pPr>
      <w:r>
        <w:t xml:space="preserve">5.2 Mismeasured Past Treatment</w:t>
      </w:r>
    </w:p>
    <w:p>
      <w:pPr>
        <w:pStyle w:val="FirstParagraph"/>
      </w:pPr>
      <w:r>
        <w:t xml:space="preserve">The need to adjust for past treatment matters when past treatment is</w:t>
      </w:r>
      <w:r>
        <w:t xml:space="preserve"> </w:t>
      </w:r>
      <w:r>
        <w:rPr>
          <w:b/>
          <w:bCs/>
        </w:rPr>
        <w:t xml:space="preserve">mismeasured</w:t>
      </w:r>
      <w:r>
        <w:t xml:space="preserve">.</w:t>
      </w:r>
      <w:r>
        <w:t xml:space="preserve"> </w:t>
      </w:r>
      <w:r>
        <w:t xml:space="preserve">As in Section 9.3, adjusting for a mismeasured confounder can leave bias in either direction.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2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that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cannot block the biasing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pass through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Investigators would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Contrary to a widespread belief, mismeasurement of a time-varying treatment</w:t>
      </w:r>
      <w:r>
        <w:t xml:space="preserve"> </w:t>
      </w:r>
      <w:r>
        <w:t xml:space="preserve">(even independent, non-differential measurement error)</w:t>
      </w:r>
      <w:r>
        <w:t xml:space="preserve"> </w:t>
      </w:r>
      <w:r>
        <w:rPr>
          <w:b/>
          <w:bCs/>
        </w:rPr>
        <w:t xml:space="preserve">may cause bias under the null</w:t>
      </w:r>
      <w:r>
        <w:t xml:space="preserve">,</w:t>
      </w:r>
      <w:r>
        <w:t xml:space="preserve"> </w:t>
      </w:r>
      <w:r>
        <w:t xml:space="preserve">because past treatment confounds the effect of later treatment</w:t>
      </w:r>
      <w:r>
        <w:t xml:space="preserve"> </w:t>
      </w:r>
      <w:r>
        <w:t xml:space="preserve">even when past treatment has no effect on the outcome.</w:t>
      </w:r>
      <w:r>
        <w:t xml:space="preserve"> </w:t>
      </w:r>
      <w:r>
        <w:t xml:space="preserve">Under the alternative, the imperfect adjustment may exaggerate the effect estimate.</w:t>
      </w:r>
      <w:r>
        <w:t xml:space="preserve"> </w:t>
      </w:r>
      <w:r>
        <w:t xml:space="preserve">Robins (1987) showed that randomly mismeasured treatment may lead to bias away from the null</w:t>
      </w:r>
      <w:r>
        <w:t xml:space="preserve"> </w:t>
      </w:r>
      <w:r>
        <w:t xml:space="preserve">(Hernán and Robins 2020, 275)</w:t>
      </w:r>
      <w:r>
        <w:t xml:space="preserve">.</w:t>
      </w:r>
    </w:p>
    <w:bookmarkEnd w:id="37"/>
    <w:bookmarkEnd w:id="38"/>
    <w:bookmarkStart w:id="3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Treatment-confounder feedback</w:t>
      </w:r>
      <w:r>
        <w:t xml:space="preserve">: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is affected by (or shares causes with) earlier treatment.</w:t>
      </w:r>
    </w:p>
    <w:p>
      <w:pPr>
        <w:pStyle w:val="Compact"/>
        <w:numPr>
          <w:ilvl w:val="0"/>
          <w:numId w:val="1008"/>
        </w:numPr>
      </w:pPr>
      <w:r>
        <w:t xml:space="preserve">In Table 20.1 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Outcome regression 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08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08"/>
        </w:numPr>
      </w:pPr>
      <w:r>
        <w:t xml:space="preserve">G-methods (Chapter 21) handle treatment-confounder feedback correctly.</w:t>
      </w:r>
    </w:p>
    <w:bookmarkEnd w:id="39"/>
    <w:bookmarkStart w:id="43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2" w:name="refs"/>
    <w:bookmarkStart w:id="4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4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2026-10-02T17:08:15Z</dcterms:created>
  <dcterms:modified xsi:type="dcterms:W3CDTF">2026-10-02T17:08:15Z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