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time-varying confounder can drive later treatment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while itself being affected by earlier treatment,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or while sharing with earlier treatment a cause outside that treatment’s measured past,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a path that conditioning on that measured past does not block.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that happens,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the problem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when 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that affects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 shares with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cause outside the measured past of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through a path that conditioning on that measured past does not block,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ins w:id="6" w:author="PR Preview" w:date="2024-01-01T00:00:00Z">
        <w:r>
          <w:t xml:space="preserve">The book’s one-line description is the effect form (a directed path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for some</w:t>
        </w:r>
      </w:ins>
      <w:ins w:id="6" w:author="PR Preview" w:date="2024-01-01T00:00:00Z">
        <w:r>
          <w:t xml:space="preserve"> 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</m:oMath>
      <w:ins w:id="6" w:author="PR Preview" w:date="2024-01-01T00:00:00Z">
        <w:r>
          <w:t xml:space="preserve">):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“the confounder affects the treatment and the treatment affects the confounder”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267)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book gives the same name to the case in which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shares an unmeasured cause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(its Figures 20.4 and 20.6),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conditioning on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produces the same bias in that case as in the effect form;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observed data also cannot tell the two cases apart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269 and 272)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second clause of</w:t>
        </w:r>
      </w:ins>
      <w:ins w:id="6" w:author="PR Preview" w:date="2024-01-01T00:00:00Z">
        <w:r>
          <w:t xml:space="preserve"> 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covers that case only.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excludes a common cause in the measured past,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such as an earlier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that affects both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otherwise almost every persistent confounder would count as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ins w:id="1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ins w:id="26" w:author="PR Preview" w:date="2024-01-01T00:00:00Z">
        <w:r>
          <w:t xml:space="preserve">The effects of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are each null.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Each null taken alone does not establish the joint null for the strategy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g-null theorem of Technical Point 20.1 does not apply directly,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because its premise is conditional independence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the examples check only conditional means.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For the mean joint null, that</w:t>
        </w:r>
      </w:ins>
      <w:ins w:id="2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the same for every static strategy,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those mean equalities are enough,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as computing the mean outcome under each static strategy with the g-formula shows.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computation uses all three identifiability conditions (</w:t>
        </w:r>
      </w:ins>
      <w:hyperlink w:anchor="rem-identifiability-by-design">
        <w:r>
          <w:rPr>
            <w:rStyle w:val="Hyperlink"/>
          </w:rPr>
          <w:t xml:space="preserve">Remark 4</w:t>
        </w:r>
      </w:hyperlink>
      <w:ins w:id="26" w:author="PR Preview" w:date="2024-01-01T00:00:00Z">
        <w:r>
          <w:t xml:space="preserve">):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sequential exchangeability (unconditionally for the randomized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, and given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for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),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positivity, and consistency.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Under these conditions,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8" w:author="PR Preview" w:date="2024-01-01T00:00:00Z">
        <w:r>
          <w:t xml:space="preserve">From</w:t>
        </w:r>
      </w:ins>
      <w:ins w:id="28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cell means do not depend on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, so for either value of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0" w:author="PR Preview" w:date="2024-01-01T00:00:00Z">
        <w:r>
          <w:t xml:space="preserve">So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</w:t>
        </w:r>
      </w:ins>
      <w:ins w:id="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30" w:author="PR Preview" w:date="2024-01-01T00:00:00Z">
        <w:r>
          <w:t xml:space="preserve">, and in particular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Do conventional analyses recover this?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ins w:id="3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ins w:id="4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ins w:id="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ins w:id="59" w:author="PR Preview" w:date="2024-01-01T00:00:00Z">
        <w:r>
          <w:t xml:space="preserve">Suppose the target is the short-term effect of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</w:t>
        </w:r>
      </w:ins>
      <w:hyperlink w:anchor="def-short-term-effect">
        <w:r>
          <w:rPr>
            <w:rStyle w:val="Hyperlink"/>
          </w:rPr>
          <w:t xml:space="preserve">Definition 2</w:t>
        </w:r>
      </w:hyperlink>
      <w:ins w:id="59" w:author="PR Preview" w:date="2024-01-01T00:00:00Z">
        <w:r>
          <w:t xml:space="preserve">),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treating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time-fixed treatment.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Treatment-confounder feedback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5" w:author="PR Preview" w:date="2024-01-01T00:00:00Z">
        <w:r>
          <w:t xml:space="preserve">):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time-varying confounder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affects later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and, for some earlier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</m:oMath>
      <w:ins w:id="65" w:author="PR Preview" w:date="2024-01-01T00:00:00Z">
        <w:r>
          <w:t xml:space="preserve">), either is affected by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or shares with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cause outside the measured past of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through a path that conditioning on that measured past does not block.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In</w:t>
        </w:r>
      </w:ins>
      <w:ins w:id="66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true effect of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“always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vs. </w:t>
        </w:r>
      </w:ins>
      <w:ins w:id="66" w:author="PR Preview" w:date="2024-01-01T00:00:00Z">
        <w:r>
          <w:t xml:space="preserve">“never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0,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yet the unadjusted analysis 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stratification on</w:t>
        </w:r>
      </w:ins>
      <w:ins w:id="6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Conventional outcome regression (reading the effect off treatment coefficients in a model that conditions on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)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matching are stratification-based too,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ins w:id="1074" w:author="PR Preview" w:date="2024-01-01T00:00:00Z">
        <w:r>
          <w:t xml:space="preserve">Robins, James M. 1986.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rPr>
            <w:i/>
            <w:iCs/>
          </w:rPr>
          <w:t xml:space="preserve">Mathematical Modelling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7: 1393–512.</w:t>
        </w:r>
      </w:ins>
    </w:p>
    <w:bookmarkEnd w:id="83"/>
    <w:bookmarkStart w:id="85" w:name="ref-robins1987addendum"/>
    <w:p>
      <w:pPr>
        <w:pStyle w:val="Bibliography"/>
      </w:pPr>
      <w:ins w:id="1075" w:author="PR Preview" w:date="2024-01-01T00:00:00Z">
        <w:r>
          <w:t xml:space="preserve">Robins, James M. 1987.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“Addendum to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‘a New Approach to Causal Inference in Mortality Studies with a Sustained Exposure Period – Application to Control of the Healthy Worker Survivor Effect’</w:t>
        </w:r>
      </w:ins>
      <w:ins w:id="1075" w:author="PR Preview" w:date="2024-01-01T00:00:00Z">
        <w:r>
          <w:t xml:space="preserve">.”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14 (9-12): 923–45.</w:t>
        </w:r>
      </w:ins>
      <w:ins w:id="1075" w:author="PR Preview" w:date="2024-01-01T00:00:00Z">
        <w:r>
          <w:t xml:space="preserve"> </w:t>
        </w:r>
      </w:ins>
      <w:hyperlink r:id="rId84">
        <w:r>
          <w:rPr>
            <w:rStyle w:val="Hyperlink"/>
          </w:rPr>
          <w:t xml:space="preserve">https://doi.org/10.1016/0898-1221(87)90238-0</w:t>
        </w:r>
      </w:hyperlink>
      <w:ins w:id="1075" w:author="PR Preview" w:date="2024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2026-10-08T01:33:17Z</dcterms:created>
  <dcterms:modified xsi:type="dcterms:W3CDTF">2026-10-08T01:33:17Z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