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time-varying confounder can drive later treatment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while itself being affected by earlier treatment,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or while sharing with earlier treatment a cause outside the measured past,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a path that conditioning on the measured past does not block.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that happens,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the problem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when 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that affects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 shares with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cause outside the measured past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through a path that conditioning on the measured past does not block,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the measured past does not block.</w:t>
            </w:r>
          </w:p>
          <w:bookmarkEnd w:id="9"/>
        </w:tc>
      </w:tr>
    </w:tbl>
    <w:p>
      <w:pPr>
        <w:pStyle w:val="FirstParagraph"/>
      </w:pPr>
      <w:ins w:id="6" w:author="PR Preview" w:date="2024-01-01T00:00:00Z">
        <w:r>
          <w:t xml:space="preserve">The book’s one-line description is the arrow form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):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“the confounder affects the treatment and the treatment affects the confounder”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267)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book gives the same name to the case in which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shares an unmeasured cause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(its Figures 20.4 and 20.6),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conditioning on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produces the same bias in that case as in the arrow form;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observed data also cannot tell the two cases apart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269 and 272)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second clause of</w:t>
        </w:r>
      </w:ins>
      <w:ins w:id="6" w:author="PR Preview" w:date="2024-01-01T00:00:00Z">
        <w:r>
          <w:t xml:space="preserve"> 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covers that case only.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excludes a common cause in the measured past,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such as an earlier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that affects both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otherwise almost every persistent confounder would count as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to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it is not affected by prior treatment.</w:t>
            </w:r>
            <w:r>
              <w:t xml:space="preserve"> </w:t>
            </w:r>
            <w:r>
              <w:t xml:space="preserve">Nor do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the trial is an ideal one, with full adherence and no loss to follow-up,</w:t>
            </w:r>
            <w:r>
              <w:t xml:space="preserve"> </w:t>
            </w:r>
            <w:r>
              <w:t xml:space="preserve">so each person’s recorded treatment is the treatment the protocol assigned,</w:t>
            </w:r>
            <w:r>
              <w:t xml:space="preserve"> </w:t>
            </w:r>
            <w:r>
              <w:t xml:space="preserve">and each person’s observed outcome is their counterfactual outcome under that treatment.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26" w:author="PR Preview" w:date="2024-01-01T00:00:00Z">
        <w:r>
          <w:t xml:space="preserve">The effects of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are each null.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Each null taken alone does not establish the joint null for the strategy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;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g-null theorem of Technical Point 20.1 does,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so does computing the mean outcome under each static strategy with the g-formula.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computation uses all three identifiability conditions (</w:t>
        </w:r>
      </w:ins>
      <w:hyperlink w:anchor="rem-identifiability-by-design">
        <w:r>
          <w:rPr>
            <w:rStyle w:val="Hyperlink"/>
          </w:rPr>
          <w:t xml:space="preserve">Remark 4</w:t>
        </w:r>
      </w:hyperlink>
      <w:ins w:id="26" w:author="PR Preview" w:date="2024-01-01T00:00:00Z">
        <w:r>
          <w:t xml:space="preserve">):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sequential exchangeability (unconditionally for the randomized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, and given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),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positivity, and consistency.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Under these conditions,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8" w:author="PR Preview" w:date="2024-01-01T00:00:00Z">
        <w:r>
          <w:t xml:space="preserve">From</w:t>
        </w:r>
      </w:ins>
      <w:ins w:id="28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cell means do not depend on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, so for either value of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0" w:author="PR Preview" w:date="2024-01-01T00:00:00Z">
        <w:r>
          <w:t xml:space="preserve">So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</w:t>
        </w:r>
      </w:ins>
      <w:ins w:id="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0" w:author="PR Preview" w:date="2024-01-01T00:00:00Z">
        <w:r>
          <w:t xml:space="preserve">, and in particular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Do conventional analyses recover this?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ins w:id="4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protection:</w:t>
            </w:r>
            <w:r>
              <w:t xml:space="preserve"> </w:t>
            </w:r>
            <w:r>
              <w:t xml:space="preserve">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conventional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ins w:id="59" w:author="PR Preview" w:date="2024-01-01T00:00:00Z">
        <w:r>
          <w:t xml:space="preserve">Suppose the target is the short-term effect of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</w:t>
        </w:r>
      </w:ins>
      <w:hyperlink w:anchor="def-short-term-effect">
        <w:r>
          <w:rPr>
            <w:rStyle w:val="Hyperlink"/>
          </w:rPr>
          <w:t xml:space="preserve">Definition 2</w:t>
        </w:r>
      </w:hyperlink>
      <w:ins w:id="59" w:author="PR Preview" w:date="2024-01-01T00:00:00Z">
        <w:r>
          <w:t xml:space="preserve">),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treating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time-fixed treatment.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Treatment-confounder feedback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5" w:author="PR Preview" w:date="2024-01-01T00:00:00Z">
        <w:r>
          <w:t xml:space="preserve">):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time-varying confounder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affects later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either is affected by earlier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or shares with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cause outside the measured past,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through a path that conditioning on the measured past does not block.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In</w:t>
        </w:r>
      </w:ins>
      <w:ins w:id="66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true effect of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“always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vs. </w:t>
        </w:r>
      </w:ins>
      <w:ins w:id="66" w:author="PR Preview" w:date="2024-01-01T00:00:00Z">
        <w:r>
          <w:t xml:space="preserve">“never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0,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yet the unadjusted analysis 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stratification on</w:t>
        </w:r>
      </w:ins>
      <w:ins w:id="6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ins w:id="1074" w:author="PR Preview" w:date="2024-01-01T00:00:00Z">
        <w:r>
          <w:t xml:space="preserve">Robins, James M. 1986.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rPr>
            <w:i/>
            <w:iCs/>
          </w:rPr>
          <w:t xml:space="preserve">Mathematical Modelling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7: 1393–512.</w:t>
        </w:r>
      </w:ins>
    </w:p>
    <w:bookmarkEnd w:id="83"/>
    <w:bookmarkStart w:id="85" w:name="ref-robins1987addendum"/>
    <w:p>
      <w:pPr>
        <w:pStyle w:val="Bibliography"/>
      </w:pPr>
      <w:ins w:id="1075" w:author="PR Preview" w:date="2024-01-01T00:00:00Z">
        <w:r>
          <w:t xml:space="preserve">Robins, James M. 1987.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“Addendum to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‘a New Approach to Causal Inference in Mortality Studies with a Sustained Exposure Period – Application to Control of the Healthy Worker Survivor Effect’</w:t>
        </w:r>
      </w:ins>
      <w:ins w:id="1075" w:author="PR Preview" w:date="2024-01-01T00:00:00Z">
        <w:r>
          <w:t xml:space="preserve">.”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14 (9-12): 923–45.</w:t>
        </w:r>
      </w:ins>
      <w:ins w:id="1075" w:author="PR Preview" w:date="2024-01-01T00:00:00Z">
        <w:r>
          <w:t xml:space="preserve"> </w:t>
        </w:r>
      </w:ins>
      <w:hyperlink r:id="rId84">
        <w:r>
          <w:rPr>
            <w:rStyle w:val="Hyperlink"/>
          </w:rPr>
          <w:t xml:space="preserve">https://doi.org/10.1016/0898-1221(87)90238-0</w:t>
        </w:r>
      </w:hyperlink>
      <w:ins w:id="1075" w:author="PR Preview" w:date="2024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2026-10-02T19:39:55Z</dcterms:created>
  <dcterms:modified xsi:type="dcterms:W3CDTF">2026-10-02T19:39:55Z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