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the measured past,</w:t>
      </w:r>
      <w:r>
        <w:t xml:space="preserve"> </w:t>
      </w:r>
      <w:r>
        <w:t xml:space="preserve">through a path that conditioning on the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</w:t>
      </w:r>
      <w:r>
        <w:t xml:space="preserve"> </w:t>
      </w:r>
      <w:r>
        <w:t xml:space="preserve">through a path that conditioning on the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the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arrow form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arrow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to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it is not affected by prior treatment.</w:t>
            </w:r>
            <w:r>
              <w:t xml:space="preserve"> </w:t>
            </w:r>
            <w:r>
              <w:t xml:space="preserve">Nor do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the trial is an ideal one, with full adherence and no loss to follow-up,</w:t>
            </w:r>
            <w:r>
              <w:t xml:space="preserve"> </w:t>
            </w:r>
            <w:r>
              <w:t xml:space="preserve">so each person’s recorded treatment is the treatment the protocol assigned,</w:t>
            </w:r>
            <w:r>
              <w:t xml:space="preserve"> </w:t>
            </w:r>
            <w:r>
              <w:t xml:space="preserve">and each person’s observed outcome is their counterfactual outcome under that treatment.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g-null theorem of Technical Point 20.1 does,</w:t>
      </w:r>
      <w:r>
        <w:t xml:space="preserve"> </w:t>
      </w:r>
      <w:r>
        <w:t xml:space="preserve">and so does computing the mean outcome under each static strategy with the g-formula.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protection:</w:t>
            </w:r>
            <w:r>
              <w:t xml:space="preserve"> </w:t>
            </w:r>
            <w:r>
              <w:t xml:space="preserve">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conventional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either is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 cause outside the measured past,</w:t>
      </w:r>
      <w:r>
        <w:t xml:space="preserve"> </w:t>
      </w:r>
      <w:r>
        <w:t xml:space="preserve">through a path that conditioning on the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2026-10-02T19:39:55Z</dcterms:created>
  <dcterms:modified xsi:type="dcterms:W3CDTF">2026-10-02T19:39:55Z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