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ins w:id="9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ins w:id="1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ins w:id="2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ins w:id="28" w:author="PR Preview" w:date="2024-01-01T00:00:00Z">
        <w:r>
          <w:t xml:space="preserve">Surviving through</w:t>
        </w:r>
      </w:ins>
      <w:ins w:id="28" w:author="PR Preview" w:date="2024-01-01T00:00:00Z">
        <w:r>
          <w:t xml:space="preserve"> </w:t>
        </w:r>
      </w:ins>
      <m:oMath>
        <m:r>
          <m:t>k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means surviving each interval up to</w:t>
        </w:r>
      </w:ins>
      <w:ins w:id="28" w:author="PR Preview" w:date="2024-01-01T00:00:00Z">
        <w:r>
          <w:t xml:space="preserve"> </w:t>
        </w:r>
      </w:ins>
      <m:oMath>
        <m:r>
          <m:t>k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in turn,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so the survival at</w:t>
        </w:r>
      </w:ins>
      <w:ins w:id="28" w:author="PR Preview" w:date="2024-01-01T00:00:00Z">
        <w:r>
          <w:t xml:space="preserve"> </w:t>
        </w:r>
      </w:ins>
      <m:oMath>
        <m:r>
          <m:t>k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is the product of the interval-specific conditional survivals.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ins w:id="2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ins w:id="32" w:author="PR Preview" w:date="2024-01-01T00:00:00Z">
        <w:r>
          <w:t xml:space="preserve">It estimates the survival curve well when the total number of events is reasonably large.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Each interval, however, usually contains few or no events,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so the individual hazard estimates are erratic,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and estimating the hazard at a specific</w:t>
        </w:r>
      </w:ins>
      <w:ins w:id="32" w:author="PR Preview" w:date="2024-01-01T00:00:00Z">
        <w:r>
          <w:t xml:space="preserve"> </w:t>
        </w:r>
      </w:ins>
      <m:oMath>
        <m:r>
          <m:t>k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may require parametric smoothing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(Chapter 11 and Fine Point 17.3).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ins w:id="38" w:author="PR Preview" w:date="2024-01-01T00:00:00Z">
        <w:r>
          <w:t xml:space="preserve">Things change with staggered entry.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ins w:id="40" w:author="PR Preview" w:date="2024-01-01T00:00:00Z">
        <w:r>
          <w:t xml:space="preserve">The NHEFS dataset omits this variable because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for everyone at all</w:t>
        </w:r>
      </w:ins>
      <w:ins w:id="40" w:author="PR Preview" w:date="2024-01-01T00:00:00Z">
        <w:r>
          <w:t xml:space="preserve"> </w:t>
        </w:r>
      </w:ins>
      <m:oMath>
        <m:r>
          <m:t>k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before 120 months;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with individual-specific administrative censoring,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switches from 0 to 1 at different times for different people.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ins w:id="4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ins w:id="4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ins w:id="46" w:author="PR Preview" w:date="2024-01-01T00:00:00Z">
        <w:r>
          <w:t xml:space="preserve">The range</w:t>
        </w:r>
      </w:ins>
      <w:ins w:id="46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in</w:t>
        </w:r>
      </w:ins>
      <w:ins w:id="46" w:author="PR Preview" w:date="2024-01-01T00:00:00Z">
        <w:r>
          <w:t xml:space="preserve"> </w:t>
        </w:r>
      </w:ins>
      <w:hyperlink w:anchor="prp-survival-random-censoring">
        <w:r>
          <w:rPr>
            <w:rStyle w:val="Hyperlink"/>
          </w:rPr>
          <w:t xml:space="preserve">Proposition 2</w:t>
        </w:r>
      </w:hyperlink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covers the same times as</w:t>
        </w:r>
      </w:ins>
      <w:ins w:id="46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for</w:t>
        </w:r>
      </w:ins>
      <w:ins w:id="46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elsewhere in this chapter.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ins w:id="47" w:author="PR Preview" w:date="2024-01-01T00:00:00Z">
        <w:r>
          <w:t xml:space="preserve">Estimation proceeds as before,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except that the quantity estimated nonparametrically or with a logistic model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is the cause-specific hazard (</w:t>
        </w:r>
      </w:ins>
      <w:hyperlink w:anchor="def-cause-specific-hazard">
        <w:r>
          <w:rPr>
            <w:rStyle w:val="Hyperlink"/>
          </w:rPr>
          <w:t xml:space="preserve">Definition 10</w:t>
        </w:r>
      </w:hyperlink>
      <w:ins w:id="47" w:author="PR Preview" w:date="2024-01-01T00:00:00Z">
        <w:r>
          <w:t xml:space="preserve">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ins w:id="48" w:author="PR Preview" w:date="2024-01-01T00:00:00Z">
        <w:r>
          <w:t xml:space="preserve">The rest of the chapter adds adjustment for baseline confounders with g-methods,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and Part III extends it to treatments and confounders that vary over time.</w:t>
        </w:r>
      </w:ins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ins w:id="55" w:author="PR Preview" w:date="2024-01-01T00:00:00Z">
        <w:r>
          <w:t xml:space="preserve">In the NHEFS, the estimated weights averaged 1, as they should, and ranged from 0.33 to 4.21.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ins w:id="60" w:author="PR Preview" w:date="2024-01-01T00:00:00Z">
        <w:r>
          <w:t xml:space="preserve">The counterfactual survival</w:t>
        </w:r>
      </w:ins>
      <w:ins w:id="6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is an average of the survivals at</w:t>
        </w:r>
      </w:ins>
      <w:ins w:id="60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conditional on</w:t>
        </w:r>
      </w:ins>
      <w:ins w:id="60" w:author="PR Preview" w:date="2024-01-01T00:00:00Z">
        <w:r>
          <w:t xml:space="preserve"> </w:t>
        </w:r>
      </w:ins>
      <m:oMath>
        <m:r>
          <m:t>L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and on</w:t>
        </w:r>
      </w:ins>
      <w:ins w:id="6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60" w:author="PR Preview" w:date="2024-01-01T00:00:00Z">
        <w:r>
          <w:t xml:space="preserve">,</w:t>
        </w:r>
      </w:ins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weighted by the distribution of</w:t>
        </w:r>
      </w:ins>
      <w:ins w:id="60" w:author="PR Preview" w:date="2024-01-01T00:00:00Z">
        <w:r>
          <w:t xml:space="preserve"> </w:t>
        </w:r>
      </w:ins>
      <m:oMath>
        <m:r>
          <m:t>L</m:t>
        </m:r>
      </m:oMath>
      <w:ins w:id="60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ins w:id="6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ins w:id="68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ins w:id="71" w:author="PR Preview" w:date="2024-01-01T00:00:00Z">
        <w:r>
          <w:t xml:space="preserve">If the effect varies with covariates</w:t>
        </w:r>
      </w:ins>
      <w:ins w:id="71" w:author="PR Preview" w:date="2024-01-01T00:00:00Z">
        <w:r>
          <w:t xml:space="preserve"> </w:t>
        </w:r>
      </w:ins>
      <m:oMath>
        <m:r>
          <m:t>L</m:t>
        </m:r>
      </m:oMath>
      <w:ins w:id="71" w:author="PR Preview" w:date="2024-01-01T00:00:00Z">
        <w:r>
          <w:t xml:space="preserve">, a more general structural AFT model is</w:t>
        </w:r>
      </w:ins>
      <w:ins w:id="71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ins w:id="71" w:author="PR Preview" w:date="2024-01-01T00:00:00Z">
        <w:r>
          <w:t xml:space="preserve">,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with</w:t>
        </w:r>
      </w:ins>
      <w:ins w:id="71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</m:oMath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and the vector</w:t>
        </w:r>
      </w:ins>
      <w:ins w:id="71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2</m:t>
            </m:r>
          </m:sub>
        </m:sSub>
      </m:oMath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common to all individuals.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bookmarkEnd w:id="80"/>
        </w:tc>
      </w:tr>
    </w:tbl>
    <w:p>
      <w:pPr>
        <w:pStyle w:val="FirstParagraph"/>
      </w:pPr>
      <w:ins w:id="7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ins w:id="73" w:author="PR Preview" w:date="2024-01-01T00:00:00Z">
        <w:r>
          <w:t xml:space="preserve">The parameters of this AFT model can be estimated by g-estimation, modified to allow for administrative censoring.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9" Type="http://schemas.openxmlformats.org/officeDocument/2006/relationships/image" Target="media/rId69.png"/><Relationship Id="rId30" Type="http://schemas.openxmlformats.org/officeDocument/2006/relationships/image" Target="media/rId30.png"/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2026-10-08T07:35:23Z</dcterms:created>
  <dcterms:modified xsi:type="dcterms:W3CDTF">2026-10-08T07:35:23Z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