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Analysis Report</w:t>
      </w:r>
    </w:p>
    <w:p>
      <w:r>
        <w:t>Executive Summary</w:t>
      </w:r>
    </w:p>
    <w:p>
      <w:r>
        <w:t>This report analyzes the company's financial performance for Q4 2023. Overall, the company shows strong growth with improving metrics across key areas.</w:t>
      </w:r>
    </w:p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$1,500,000</w:t>
            </w:r>
          </w:p>
        </w:tc>
      </w:tr>
      <w:tr>
        <w:tc>
          <w:tcPr>
            <w:tcW w:type="dxa" w:w="4320"/>
          </w:tcPr>
          <w:p>
            <w:r>
              <w:t>Net Income</w:t>
            </w:r>
          </w:p>
        </w:tc>
        <w:tc>
          <w:tcPr>
            <w:tcW w:type="dxa" w:w="4320"/>
          </w:tcPr>
          <w:p>
            <w:r>
              <w:t>$300,000</w:t>
            </w:r>
          </w:p>
        </w:tc>
      </w:tr>
      <w:tr>
        <w:tc>
          <w:tcPr>
            <w:tcW w:type="dxa" w:w="4320"/>
          </w:tcPr>
          <w:p>
            <w:r>
              <w:t>Profit Margin</w:t>
            </w:r>
          </w:p>
        </w:tc>
        <w:tc>
          <w:tcPr>
            <w:tcW w:type="dxa" w:w="4320"/>
          </w:tcPr>
          <w:p>
            <w:r>
              <w:t>20%</w:t>
            </w:r>
          </w:p>
        </w:tc>
      </w:tr>
      <w:tr>
        <w:tc>
          <w:tcPr>
            <w:tcW w:type="dxa" w:w="4320"/>
          </w:tcPr>
          <w:p>
            <w:r>
              <w:t>ROI</w:t>
            </w:r>
          </w:p>
        </w:tc>
        <w:tc>
          <w:tcPr>
            <w:tcW w:type="dxa" w:w="4320"/>
          </w:tcPr>
          <w:p>
            <w:r>
              <w:t>15%</w:t>
            </w:r>
          </w:p>
        </w:tc>
      </w:tr>
    </w:tbl>
    <w:p>
      <w:pPr>
        <w:pStyle w:val="Heading1"/>
      </w:pPr>
      <w:r>
        <w:t>Risk Analysis</w:t>
      </w:r>
    </w:p>
    <w:p>
      <w:r>
        <w:rPr>
          <w:b/>
        </w:rPr>
        <w:t>High Risk Areas:</w:t>
        <w:br/>
      </w:r>
    </w:p>
    <w:p>
      <w:r>
        <w:t>• Market volatility</w:t>
        <w:br/>
        <w:t>• Supply chain disruptions</w:t>
        <w:br/>
        <w:t>• Regulatory changes</w:t>
      </w:r>
    </w:p>
    <w:p>
      <w:pPr>
        <w:pStyle w:val="Heading1"/>
      </w:pPr>
      <w:r>
        <w:t>Recommendations</w:t>
      </w:r>
    </w:p>
    <w:p>
      <w:r>
        <w:t>1. Increase cash reserves to improve liquidity</w:t>
        <w:br/>
        <w:t>2. Diversify supplier base to reduce supply chain risk</w:t>
        <w:br/>
        <w:t>3. Implement cost reduction measures</w:t>
        <w:br/>
        <w:t>4. Expand into new markets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