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Noto Sans CJK SC"/>
          <w:b w:val="0"/>
          <w:color w:val="000000"/>
          <w:lang w:val="en-US" w:eastAsia="zh-CN"/>
        </w:rPr>
        <w:t>Moonkov UI Modules and Hierarchy Brief</w:t>
      </w:r>
    </w:p>
    <w:p>
      <w:r>
        <w:rPr>
          <w:rFonts w:ascii="Arial" w:hAnsi="Arial" w:eastAsia="Noto Sans CJK SC"/>
          <w:b w:val="0"/>
          <w:color w:val="000000"/>
          <w:lang w:val="en-US" w:eastAsia="zh-CN"/>
        </w:rPr>
        <w:t>English edition  25 October 2026  v1.1</w:t>
      </w:r>
    </w:p>
    <w:p>
      <w:r>
        <w:rPr>
          <w:rFonts w:ascii="Arial" w:hAnsi="Arial" w:eastAsia="Noto Sans CJK SC"/>
          <w:b w:val="0"/>
          <w:color w:val="000000"/>
          <w:lang w:val="en-US" w:eastAsia="zh-CN"/>
        </w:rPr>
        <w:t>This brief gives the UI artist the functional scope of Moonkov: which modules exist, what each contains, and how they relate. Moonkov is an anime character first-person extraction shooter set on the Moon, with expedition and bounty modes.</w:t>
      </w:r>
    </w:p>
    <w:p>
      <w:r>
        <w:rPr>
          <w:rFonts w:ascii="Arial" w:hAnsi="Arial" w:eastAsia="Noto Sans CJK SC"/>
          <w:b w:val="0"/>
          <w:color w:val="000000"/>
          <w:lang w:val="en-US" w:eastAsia="zh-CN"/>
        </w:rPr>
        <w:t>The main menu is planned for redesign. The artist owns visual direction, composition, layout and screen grouping. The hierarchy below classifies functions; it does not prescribe menu structure. One screen may contain several modules, and one module may span several screens.</w:t>
      </w:r>
    </w:p>
    <w:p>
      <w:pPr>
        <w:pStyle w:val="Heading2"/>
      </w:pPr>
      <w:r>
        <w:rPr>
          <w:rFonts w:ascii="Arial" w:hAnsi="Arial" w:eastAsia="Noto Sans CJK SC"/>
          <w:b w:val="0"/>
          <w:color w:val="000000"/>
          <w:lang w:val="en-US" w:eastAsia="zh-CN"/>
        </w:rPr>
        <w:t>Top level modules and their children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2376"/>
        <w:gridCol w:w="7560"/>
      </w:tblGrid>
      <w:tr>
        <w:trPr>
          <w:cantSplit/>
          <w:tblHeader/>
        </w:trPr>
        <w:tc>
          <w:tcPr>
            <w:tcW w:type="dxa" w:w="2376"/>
            <w:vAlign w:val="center"/>
            <w:shd w:fill="E7EDF2"/>
          </w:tcPr>
          <w:p>
            <w:pPr>
              <w:spacing w:before="0" w:after="0" w:line="269" w:lineRule="auto"/>
            </w:pPr>
            <w:r>
              <w:rPr>
                <w:rFonts w:ascii="Arial" w:hAnsi="Arial" w:eastAsia="Noto Sans CJK SC"/>
                <w:b/>
                <w:color w:val="000000"/>
                <w:sz w:val="21"/>
                <w:lang w:val="en-US" w:eastAsia="zh-CN"/>
              </w:rPr>
              <w:t>Top level module</w:t>
            </w:r>
          </w:p>
        </w:tc>
        <w:tc>
          <w:tcPr>
            <w:tcW w:type="dxa" w:w="7560"/>
            <w:vAlign w:val="center"/>
            <w:shd w:fill="E7EDF2"/>
          </w:tcPr>
          <w:p>
            <w:pPr>
              <w:spacing w:before="0" w:after="0" w:line="269" w:lineRule="auto"/>
            </w:pPr>
            <w:r>
              <w:rPr>
                <w:rFonts w:ascii="Arial" w:hAnsi="Arial" w:eastAsia="Noto Sans CJK SC"/>
                <w:b/>
                <w:color w:val="000000"/>
                <w:sz w:val="21"/>
                <w:lang w:val="en-US" w:eastAsia="zh-CN"/>
              </w:rPr>
              <w:t>Child modules</w:t>
            </w:r>
          </w:p>
        </w:tc>
      </w:tr>
      <w:tr>
        <w:trPr>
          <w:cantSplit/>
        </w:trPr>
        <w:tc>
          <w:tcPr>
            <w:tcW w:type="dxa" w:w="2376"/>
            <w:vAlign w:val="center"/>
          </w:tcPr>
          <w:p>
            <w:pPr>
              <w:spacing w:before="0" w:after="0" w:line="269" w:lineRule="auto"/>
            </w:pPr>
            <w:r>
              <w:rPr>
                <w:rFonts w:ascii="Arial" w:hAnsi="Arial" w:eastAsia="Noto Sans CJK SC"/>
                <w:b w:val="0"/>
                <w:color w:val="000000"/>
                <w:sz w:val="21"/>
                <w:lang w:val="en-US" w:eastAsia="zh-CN"/>
              </w:rPr>
              <w:t>Entry and sessions</w:t>
            </w:r>
          </w:p>
        </w:tc>
        <w:tc>
          <w:tcPr>
            <w:tcW w:type="dxa" w:w="7560"/>
            <w:vAlign w:val="center"/>
          </w:tcPr>
          <w:p>
            <w:pPr>
              <w:spacing w:before="0" w:after="0" w:line="269" w:lineRule="auto"/>
            </w:pPr>
            <w:r>
              <w:rPr>
                <w:rFonts w:ascii="Arial" w:hAnsi="Arial" w:eastAsia="Noto Sans CJK SC"/>
                <w:b w:val="0"/>
                <w:color w:val="000000"/>
                <w:sz w:val="21"/>
                <w:lang w:val="en-US" w:eastAsia="zh-CN"/>
              </w:rPr>
              <w:t>Main menu, account, global navigation, online squad, LAN, connection and loading.</w:t>
            </w:r>
          </w:p>
        </w:tc>
      </w:tr>
      <w:tr>
        <w:trPr>
          <w:cantSplit/>
        </w:trPr>
        <w:tc>
          <w:tcPr>
            <w:tcW w:type="dxa" w:w="2376"/>
            <w:vAlign w:val="center"/>
          </w:tcPr>
          <w:p>
            <w:pPr>
              <w:spacing w:before="0" w:after="0" w:line="269" w:lineRule="auto"/>
            </w:pPr>
            <w:r>
              <w:rPr>
                <w:rFonts w:ascii="Arial" w:hAnsi="Arial" w:eastAsia="Noto Sans CJK SC"/>
                <w:b w:val="0"/>
                <w:color w:val="000000"/>
                <w:sz w:val="21"/>
                <w:lang w:val="en-US" w:eastAsia="zh-CN"/>
              </w:rPr>
              <w:t>Base management and progression</w:t>
            </w:r>
          </w:p>
        </w:tc>
        <w:tc>
          <w:tcPr>
            <w:tcW w:type="dxa" w:w="7560"/>
            <w:vAlign w:val="center"/>
          </w:tcPr>
          <w:p>
            <w:pPr>
              <w:spacing w:before="0" w:after="0" w:line="269" w:lineRule="auto"/>
            </w:pPr>
            <w:r>
              <w:rPr>
                <w:rFonts w:ascii="Arial" w:hAnsi="Arial" w:eastAsia="Noto Sans CJK SC"/>
                <w:b w:val="0"/>
                <w:color w:val="000000"/>
                <w:sz w:val="21"/>
                <w:lang w:val="en-US" w:eastAsia="zh-CN"/>
              </w:rPr>
              <w:t>Equipment and items, stash, Halos, suppliers, trade, emergency supplies, research, fabrication, events and progression; base and comms placeholders.</w:t>
            </w:r>
          </w:p>
        </w:tc>
      </w:tr>
      <w:tr>
        <w:trPr>
          <w:cantSplit/>
        </w:trPr>
        <w:tc>
          <w:tcPr>
            <w:tcW w:type="dxa" w:w="2376"/>
            <w:vAlign w:val="center"/>
          </w:tcPr>
          <w:p>
            <w:pPr>
              <w:spacing w:before="0" w:after="0" w:line="269" w:lineRule="auto"/>
            </w:pPr>
            <w:r>
              <w:rPr>
                <w:rFonts w:ascii="Arial" w:hAnsi="Arial" w:eastAsia="Noto Sans CJK SC"/>
                <w:b w:val="0"/>
                <w:color w:val="000000"/>
                <w:sz w:val="21"/>
                <w:lang w:val="en-US" w:eastAsia="zh-CN"/>
              </w:rPr>
              <w:t>Deployment preparation</w:t>
            </w:r>
          </w:p>
        </w:tc>
        <w:tc>
          <w:tcPr>
            <w:tcW w:type="dxa" w:w="7560"/>
            <w:vAlign w:val="center"/>
          </w:tcPr>
          <w:p>
            <w:pPr>
              <w:spacing w:before="0" w:after="0" w:line="269" w:lineRule="auto"/>
            </w:pPr>
            <w:r>
              <w:rPr>
                <w:rFonts w:ascii="Arial" w:hAnsi="Arial" w:eastAsia="Noto Sans CJK SC"/>
                <w:b w:val="0"/>
                <w:color w:val="000000"/>
                <w:sz w:val="21"/>
                <w:lang w:val="en-US" w:eastAsia="zh-CN"/>
              </w:rPr>
              <w:t>Character and equipment check, destination, briefing and carry, risk and recovery, final confirmation.</w:t>
            </w:r>
          </w:p>
        </w:tc>
      </w:tr>
      <w:tr>
        <w:trPr>
          <w:cantSplit/>
        </w:trPr>
        <w:tc>
          <w:tcPr>
            <w:tcW w:type="dxa" w:w="2376"/>
            <w:vAlign w:val="center"/>
          </w:tcPr>
          <w:p>
            <w:pPr>
              <w:spacing w:before="0" w:after="0" w:line="269" w:lineRule="auto"/>
            </w:pPr>
            <w:r>
              <w:rPr>
                <w:rFonts w:ascii="Arial" w:hAnsi="Arial" w:eastAsia="Noto Sans CJK SC"/>
                <w:b w:val="0"/>
                <w:color w:val="000000"/>
                <w:sz w:val="21"/>
                <w:lang w:val="en-US" w:eastAsia="zh-CN"/>
              </w:rPr>
              <w:t>Shared in-session modules</w:t>
            </w:r>
          </w:p>
        </w:tc>
        <w:tc>
          <w:tcPr>
            <w:tcW w:type="dxa" w:w="7560"/>
            <w:vAlign w:val="center"/>
          </w:tcPr>
          <w:p>
            <w:pPr>
              <w:spacing w:before="0" w:after="0" w:line="269" w:lineRule="auto"/>
            </w:pPr>
            <w:r>
              <w:rPr>
                <w:rFonts w:ascii="Arial" w:hAnsi="Arial" w:eastAsia="Noto Sans CJK SC"/>
                <w:b w:val="0"/>
                <w:color w:val="000000"/>
                <w:sz w:val="21"/>
                <w:lang w:val="en-US" w:eastAsia="zh-CN"/>
              </w:rPr>
              <w:t>Combat HUD, health and survival, carried inventory, loot, quick slots, interactions, tools, map, events and extraction.</w:t>
            </w:r>
          </w:p>
        </w:tc>
      </w:tr>
      <w:tr>
        <w:trPr>
          <w:cantSplit/>
        </w:trPr>
        <w:tc>
          <w:tcPr>
            <w:tcW w:type="dxa" w:w="2376"/>
            <w:vAlign w:val="center"/>
          </w:tcPr>
          <w:p>
            <w:pPr>
              <w:spacing w:before="0" w:after="0" w:line="269" w:lineRule="auto"/>
            </w:pPr>
            <w:r>
              <w:rPr>
                <w:rFonts w:ascii="Arial" w:hAnsi="Arial" w:eastAsia="Noto Sans CJK SC"/>
                <w:b w:val="0"/>
                <w:color w:val="000000"/>
                <w:sz w:val="21"/>
                <w:lang w:val="en-US" w:eastAsia="zh-CN"/>
              </w:rPr>
              <w:t>Bounty-specific modules</w:t>
            </w:r>
          </w:p>
        </w:tc>
        <w:tc>
          <w:tcPr>
            <w:tcW w:type="dxa" w:w="7560"/>
            <w:vAlign w:val="center"/>
          </w:tcPr>
          <w:p>
            <w:pPr>
              <w:spacing w:before="0" w:after="0" w:line="269" w:lineRule="auto"/>
            </w:pPr>
            <w:r>
              <w:rPr>
                <w:rFonts w:ascii="Arial" w:hAnsi="Arial" w:eastAsia="Noto Sans CJK SC"/>
                <w:b w:val="0"/>
                <w:color w:val="000000"/>
                <w:sz w:val="21"/>
                <w:lang w:val="en-US" w:eastAsia="zh-CN"/>
              </w:rPr>
              <w:t>Mode and staging, phases and objectives, banishment and bounty, dark sight, squad and rescue, bounty settlement.</w:t>
            </w:r>
          </w:p>
        </w:tc>
      </w:tr>
      <w:tr>
        <w:trPr>
          <w:cantSplit/>
        </w:trPr>
        <w:tc>
          <w:tcPr>
            <w:tcW w:type="dxa" w:w="2376"/>
            <w:vAlign w:val="center"/>
          </w:tcPr>
          <w:p>
            <w:pPr>
              <w:spacing w:before="0" w:after="0" w:line="269" w:lineRule="auto"/>
            </w:pPr>
            <w:r>
              <w:rPr>
                <w:rFonts w:ascii="Arial" w:hAnsi="Arial" w:eastAsia="Noto Sans CJK SC"/>
                <w:b w:val="0"/>
                <w:color w:val="000000"/>
                <w:sz w:val="21"/>
                <w:lang w:val="en-US" w:eastAsia="zh-CN"/>
              </w:rPr>
              <w:t>Settlement and return</w:t>
            </w:r>
          </w:p>
        </w:tc>
        <w:tc>
          <w:tcPr>
            <w:tcW w:type="dxa" w:w="7560"/>
            <w:vAlign w:val="center"/>
          </w:tcPr>
          <w:p>
            <w:pPr>
              <w:spacing w:before="0" w:after="0" w:line="269" w:lineRule="auto"/>
            </w:pPr>
            <w:r>
              <w:rPr>
                <w:rFonts w:ascii="Arial" w:hAnsi="Arial" w:eastAsia="Noto Sans CJK SC"/>
                <w:b w:val="0"/>
                <w:color w:val="000000"/>
                <w:sz w:val="21"/>
                <w:lang w:val="en-US" w:eastAsia="zh-CN"/>
              </w:rPr>
              <w:t>Session result, cargo, saving and storage, recovery inbox and next deployment.</w:t>
            </w:r>
          </w:p>
        </w:tc>
      </w:tr>
      <w:tr>
        <w:trPr>
          <w:cantSplit/>
        </w:trPr>
        <w:tc>
          <w:tcPr>
            <w:tcW w:type="dxa" w:w="2376"/>
            <w:vAlign w:val="center"/>
          </w:tcPr>
          <w:p>
            <w:pPr>
              <w:spacing w:before="0" w:after="0" w:line="269" w:lineRule="auto"/>
            </w:pPr>
            <w:r>
              <w:rPr>
                <w:rFonts w:ascii="Arial" w:hAnsi="Arial" w:eastAsia="Noto Sans CJK SC"/>
                <w:b w:val="0"/>
                <w:color w:val="000000"/>
                <w:sz w:val="21"/>
                <w:lang w:val="en-US" w:eastAsia="zh-CN"/>
              </w:rPr>
              <w:t>System support</w:t>
            </w:r>
          </w:p>
        </w:tc>
        <w:tc>
          <w:tcPr>
            <w:tcW w:type="dxa" w:w="7560"/>
            <w:vAlign w:val="center"/>
          </w:tcPr>
          <w:p>
            <w:pPr>
              <w:spacing w:before="0" w:after="0" w:line="269" w:lineRule="auto"/>
            </w:pPr>
            <w:r>
              <w:rPr>
                <w:rFonts w:ascii="Arial" w:hAnsi="Arial" w:eastAsia="Noto Sans CJK SC"/>
                <w:b w:val="0"/>
                <w:color w:val="000000"/>
                <w:sz w:val="21"/>
                <w:lang w:val="en-US" w:eastAsia="zh-CN"/>
              </w:rPr>
              <w:t>Settings, in-session menu, death presentation, combat feedback and action feed.</w:t>
            </w:r>
          </w:p>
        </w:tc>
      </w:tr>
    </w:tbl>
    <w:p>
      <w:pPr>
        <w:spacing w:after="20" w:before="0" w:line="96" w:lineRule="auto"/>
      </w:pPr>
      <w:r>
        <w:rPr>
          <w:sz w:val="4"/>
        </w:rPr>
      </w:r>
    </w:p>
    <w:p>
      <w:r>
        <w:rPr>
          <w:rFonts w:ascii="Arial" w:hAnsi="Arial" w:eastAsia="Noto Sans CJK SC"/>
          <w:b w:val="0"/>
          <w:color w:val="000000"/>
          <w:lang w:val="en-US" w:eastAsia="zh-CN"/>
        </w:rPr>
        <w:t>M01–M50 identify player functions; M51 records development-only scope. IDs prevent omissions and do not require a separate screen for every item.</w:t>
      </w:r>
    </w:p>
    <w:p>
      <w:r>
        <w:rPr>
          <w:rFonts w:ascii="Arial" w:hAnsi="Arial" w:eastAsia="Noto Sans CJK SC"/>
          <w:b w:val="0"/>
          <w:color w:val="000000"/>
          <w:lang w:val="en-US" w:eastAsia="zh-CN"/>
        </w:rPr>
        <w:t>Basis: code and repository documents at develop 11c245a3. Existing implementation does not imply current gameplay or visual acceptance.</w:t>
      </w:r>
    </w:p>
    <w:p>
      <w:r>
        <w:br w:type="page"/>
      </w:r>
    </w:p>
    <w:p>
      <w:pPr>
        <w:pStyle w:val="Heading1"/>
      </w:pPr>
      <w:r>
        <w:rPr>
          <w:rFonts w:ascii="Arial" w:hAnsi="Arial" w:eastAsia="Noto Sans CJK SC"/>
          <w:b w:val="0"/>
          <w:color w:val="000000"/>
          <w:lang w:val="en-US" w:eastAsia="zh-CN"/>
        </w:rPr>
        <w:t>Entry sessions and deployment preparation</w:t>
      </w:r>
    </w:p>
    <w:p>
      <w:pPr>
        <w:pStyle w:val="Heading2"/>
      </w:pPr>
      <w:r>
        <w:rPr>
          <w:rFonts w:ascii="Arial" w:hAnsi="Arial" w:eastAsia="Noto Sans CJK SC"/>
          <w:b w:val="0"/>
          <w:color w:val="000000"/>
          <w:lang w:val="en-US" w:eastAsia="zh-CN"/>
        </w:rPr>
        <w:t>Entry and sessions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691"/>
        <w:gridCol w:w="1944"/>
        <w:gridCol w:w="7301"/>
      </w:tblGrid>
      <w:tr>
        <w:trPr>
          <w:cantSplit/>
          <w:tblHeader/>
        </w:trPr>
        <w:tc>
          <w:tcPr>
            <w:tcW w:type="dxa" w:w="691"/>
            <w:vAlign w:val="center"/>
            <w:shd w:fill="E7EDF2"/>
          </w:tcPr>
          <w:p>
            <w:pPr>
              <w:spacing w:before="0" w:after="0" w:line="269" w:lineRule="auto"/>
              <w:jc w:val="center"/>
            </w:pPr>
            <w:r>
              <w:rPr>
                <w:rFonts w:ascii="Arial" w:hAnsi="Arial" w:eastAsia="Noto Sans CJK SC"/>
                <w:b/>
                <w:color w:val="000000"/>
                <w:sz w:val="21"/>
                <w:lang w:val="en-US" w:eastAsia="zh-CN"/>
              </w:rPr>
              <w:t>ID</w:t>
            </w:r>
          </w:p>
        </w:tc>
        <w:tc>
          <w:tcPr>
            <w:tcW w:type="dxa" w:w="1944"/>
            <w:vAlign w:val="center"/>
            <w:shd w:fill="E7EDF2"/>
          </w:tcPr>
          <w:p>
            <w:pPr>
              <w:spacing w:before="0" w:after="0" w:line="269" w:lineRule="auto"/>
            </w:pPr>
            <w:r>
              <w:rPr>
                <w:rFonts w:ascii="Arial" w:hAnsi="Arial" w:eastAsia="Noto Sans CJK SC"/>
                <w:b/>
                <w:color w:val="000000"/>
                <w:sz w:val="21"/>
                <w:lang w:val="en-US" w:eastAsia="zh-CN"/>
              </w:rPr>
              <w:t>Module</w:t>
            </w:r>
          </w:p>
        </w:tc>
        <w:tc>
          <w:tcPr>
            <w:tcW w:type="dxa" w:w="7301"/>
            <w:vAlign w:val="center"/>
            <w:shd w:fill="E7EDF2"/>
          </w:tcPr>
          <w:p>
            <w:pPr>
              <w:spacing w:before="0" w:after="0" w:line="269" w:lineRule="auto"/>
            </w:pPr>
            <w:r>
              <w:rPr>
                <w:rFonts w:ascii="Arial" w:hAnsi="Arial" w:eastAsia="Noto Sans CJK SC"/>
                <w:b/>
                <w:color w:val="000000"/>
                <w:sz w:val="21"/>
                <w:lang w:val="en-US" w:eastAsia="zh-CN"/>
              </w:rPr>
              <w:t>Included functions and information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M01</w:t>
            </w:r>
          </w:p>
        </w:tc>
        <w:tc>
          <w:tcPr>
            <w:tcW w:type="dxa" w:w="1944"/>
            <w:vAlign w:val="center"/>
          </w:tcPr>
          <w:p>
            <w:pPr>
              <w:spacing w:before="0" w:after="0" w:line="269" w:lineRule="auto"/>
            </w:pPr>
            <w:r>
              <w:rPr>
                <w:rFonts w:ascii="Arial" w:hAnsi="Arial" w:eastAsia="Noto Sans CJK SC"/>
                <w:b w:val="0"/>
                <w:color w:val="000000"/>
                <w:sz w:val="21"/>
                <w:lang w:val="en-US" w:eastAsia="zh-CN"/>
              </w:rPr>
              <w:t>Main menu Redesign</w:t>
            </w:r>
          </w:p>
        </w:tc>
        <w:tc>
          <w:tcPr>
            <w:tcW w:type="dxa" w:w="7301"/>
            <w:vAlign w:val="center"/>
          </w:tcPr>
          <w:p>
            <w:pPr>
              <w:spacing w:before="0" w:after="0" w:line="269" w:lineRule="auto"/>
            </w:pPr>
            <w:r>
              <w:rPr>
                <w:rFonts w:ascii="Arial" w:hAnsi="Arial" w:eastAsia="Noto Sans CJK SC"/>
                <w:b w:val="0"/>
                <w:color w:val="000000"/>
                <w:sz w:val="21"/>
                <w:lang w:val="en-US" w:eastAsia="zh-CN"/>
              </w:rPr>
              <w:t>Access to the main play flows and management modules. Existing arrangement is not a design constraint.</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M02</w:t>
            </w:r>
          </w:p>
        </w:tc>
        <w:tc>
          <w:tcPr>
            <w:tcW w:type="dxa" w:w="1944"/>
            <w:vAlign w:val="center"/>
          </w:tcPr>
          <w:p>
            <w:pPr>
              <w:spacing w:before="0" w:after="0" w:line="269" w:lineRule="auto"/>
            </w:pPr>
            <w:r>
              <w:rPr>
                <w:rFonts w:ascii="Arial" w:hAnsi="Arial" w:eastAsia="Noto Sans CJK SC"/>
                <w:b w:val="0"/>
                <w:color w:val="000000"/>
                <w:sz w:val="21"/>
                <w:lang w:val="en-US" w:eastAsia="zh-CN"/>
              </w:rPr>
              <w:t>Account and identity</w:t>
            </w:r>
          </w:p>
        </w:tc>
        <w:tc>
          <w:tcPr>
            <w:tcW w:type="dxa" w:w="7301"/>
            <w:vAlign w:val="center"/>
          </w:tcPr>
          <w:p>
            <w:pPr>
              <w:spacing w:before="0" w:after="0" w:line="269" w:lineRule="auto"/>
            </w:pPr>
            <w:r>
              <w:rPr>
                <w:rFonts w:ascii="Arial" w:hAnsi="Arial" w:eastAsia="Noto Sans CJK SC"/>
                <w:b w:val="0"/>
                <w:color w:val="000000"/>
                <w:sz w:val="21"/>
                <w:lang w:val="en-US" w:eastAsia="zh-CN"/>
              </w:rPr>
              <w:t>Sign in, register, sign out; online account and offline identity, pending and error feedback.</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M03</w:t>
            </w:r>
          </w:p>
        </w:tc>
        <w:tc>
          <w:tcPr>
            <w:tcW w:type="dxa" w:w="1944"/>
            <w:vAlign w:val="center"/>
          </w:tcPr>
          <w:p>
            <w:pPr>
              <w:spacing w:before="0" w:after="0" w:line="269" w:lineRule="auto"/>
            </w:pPr>
            <w:r>
              <w:rPr>
                <w:rFonts w:ascii="Arial" w:hAnsi="Arial" w:eastAsia="Noto Sans CJK SC"/>
                <w:b w:val="0"/>
                <w:color w:val="000000"/>
                <w:sz w:val="21"/>
                <w:lang w:val="en-US" w:eastAsia="zh-CN"/>
              </w:rPr>
              <w:t>Global navigation and resources</w:t>
            </w:r>
          </w:p>
        </w:tc>
        <w:tc>
          <w:tcPr>
            <w:tcW w:type="dxa" w:w="7301"/>
            <w:vAlign w:val="center"/>
          </w:tcPr>
          <w:p>
            <w:pPr>
              <w:spacing w:before="0" w:after="0" w:line="269" w:lineRule="auto"/>
            </w:pPr>
            <w:r>
              <w:rPr>
                <w:rFonts w:ascii="Arial" w:hAnsi="Arial" w:eastAsia="Noto Sans CJK SC"/>
                <w:b w:val="0"/>
                <w:color w:val="000000"/>
                <w:sz w:val="21"/>
                <w:lang w:val="en-US" w:eastAsia="zh-CN"/>
              </w:rPr>
              <w:t>Module access, selected character, resources such as Moon Dust, session and connection status.</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M04</w:t>
            </w:r>
          </w:p>
        </w:tc>
        <w:tc>
          <w:tcPr>
            <w:tcW w:type="dxa" w:w="1944"/>
            <w:vAlign w:val="center"/>
          </w:tcPr>
          <w:p>
            <w:pPr>
              <w:spacing w:before="0" w:after="0" w:line="269" w:lineRule="auto"/>
            </w:pPr>
            <w:r>
              <w:rPr>
                <w:rFonts w:ascii="Arial" w:hAnsi="Arial" w:eastAsia="Noto Sans CJK SC"/>
                <w:b w:val="0"/>
                <w:color w:val="000000"/>
                <w:sz w:val="21"/>
                <w:lang w:val="en-US" w:eastAsia="zh-CN"/>
              </w:rPr>
              <w:t>Online squad</w:t>
            </w:r>
          </w:p>
        </w:tc>
        <w:tc>
          <w:tcPr>
            <w:tcW w:type="dxa" w:w="7301"/>
            <w:vAlign w:val="center"/>
          </w:tcPr>
          <w:p>
            <w:pPr>
              <w:spacing w:before="0" w:after="0" w:line="269" w:lineRule="auto"/>
            </w:pPr>
            <w:r>
              <w:rPr>
                <w:rFonts w:ascii="Arial" w:hAnsi="Arial" w:eastAsia="Noto Sans CJK SC"/>
                <w:b w:val="0"/>
                <w:color w:val="000000"/>
                <w:sz w:val="21"/>
                <w:lang w:val="en-US" w:eastAsia="zh-CN"/>
              </w:rPr>
              <w:t>Create or join, squad code, 1–4 members, leader, readiness, co-op or friend versus; optional public matchmaking.</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M05</w:t>
            </w:r>
          </w:p>
        </w:tc>
        <w:tc>
          <w:tcPr>
            <w:tcW w:type="dxa" w:w="1944"/>
            <w:vAlign w:val="center"/>
          </w:tcPr>
          <w:p>
            <w:pPr>
              <w:spacing w:before="0" w:after="0" w:line="269" w:lineRule="auto"/>
            </w:pPr>
            <w:r>
              <w:rPr>
                <w:rFonts w:ascii="Arial" w:hAnsi="Arial" w:eastAsia="Noto Sans CJK SC"/>
                <w:b w:val="0"/>
                <w:color w:val="000000"/>
                <w:sz w:val="21"/>
                <w:lang w:val="en-US" w:eastAsia="zh-CN"/>
              </w:rPr>
              <w:t>LAN room</w:t>
            </w:r>
          </w:p>
        </w:tc>
        <w:tc>
          <w:tcPr>
            <w:tcW w:type="dxa" w:w="7301"/>
            <w:vAlign w:val="center"/>
          </w:tcPr>
          <w:p>
            <w:pPr>
              <w:spacing w:before="0" w:after="0" w:line="269" w:lineRule="auto"/>
            </w:pPr>
            <w:r>
              <w:rPr>
                <w:rFonts w:ascii="Arial" w:hAnsi="Arial" w:eastAsia="Noto Sans CJK SC"/>
                <w:b w:val="0"/>
                <w:color w:val="000000"/>
                <w:sz w:val="21"/>
                <w:lang w:val="en-US" w:eastAsia="zh-CN"/>
              </w:rPr>
              <w:t>Browse, create, direct join, rooms and members, host permissions, readiness and deployment.</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M06</w:t>
            </w:r>
          </w:p>
        </w:tc>
        <w:tc>
          <w:tcPr>
            <w:tcW w:type="dxa" w:w="1944"/>
            <w:vAlign w:val="center"/>
          </w:tcPr>
          <w:p>
            <w:pPr>
              <w:spacing w:before="0" w:after="0" w:line="269" w:lineRule="auto"/>
            </w:pPr>
            <w:r>
              <w:rPr>
                <w:rFonts w:ascii="Arial" w:hAnsi="Arial" w:eastAsia="Noto Sans CJK SC"/>
                <w:b w:val="0"/>
                <w:color w:val="000000"/>
                <w:sz w:val="21"/>
                <w:lang w:val="en-US" w:eastAsia="zh-CN"/>
              </w:rPr>
              <w:t>Connection and loading</w:t>
            </w:r>
          </w:p>
        </w:tc>
        <w:tc>
          <w:tcPr>
            <w:tcW w:type="dxa" w:w="7301"/>
            <w:vAlign w:val="center"/>
          </w:tcPr>
          <w:p>
            <w:pPr>
              <w:spacing w:before="0" w:after="0" w:line="269" w:lineRule="auto"/>
            </w:pPr>
            <w:r>
              <w:rPr>
                <w:rFonts w:ascii="Arial" w:hAnsi="Arial" w:eastAsia="Noto Sans CJK SC"/>
                <w:b w:val="0"/>
                <w:color w:val="000000"/>
                <w:sz w:val="21"/>
                <w:lang w:val="en-US" w:eastAsia="zh-CN"/>
              </w:rPr>
              <w:t>Advanced connection settings, instance availability, loading, connection, retry and reconnect to the original session.</w:t>
            </w:r>
          </w:p>
        </w:tc>
      </w:tr>
    </w:tbl>
    <w:p>
      <w:pPr>
        <w:spacing w:after="20" w:before="0" w:line="96" w:lineRule="auto"/>
      </w:pPr>
      <w:r>
        <w:rPr>
          <w:sz w:val="4"/>
        </w:rPr>
      </w:r>
    </w:p>
    <w:p>
      <w:pPr>
        <w:pStyle w:val="Heading2"/>
      </w:pPr>
      <w:r>
        <w:rPr>
          <w:rFonts w:ascii="Arial" w:hAnsi="Arial" w:eastAsia="Noto Sans CJK SC"/>
          <w:b w:val="0"/>
          <w:color w:val="000000"/>
          <w:lang w:val="en-US" w:eastAsia="zh-CN"/>
        </w:rPr>
        <w:t>Five preparation information groups</w:t>
      </w:r>
    </w:p>
    <w:p>
      <w:r>
        <w:rPr>
          <w:rFonts w:ascii="Arial" w:hAnsi="Arial" w:eastAsia="Noto Sans CJK SC"/>
          <w:b w:val="0"/>
          <w:color w:val="000000"/>
          <w:lang w:val="en-US" w:eastAsia="zh-CN"/>
        </w:rPr>
        <w:t>These are the information groups in the current flow. The new design may merge or split screens and need not retain a five-step layout.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691"/>
        <w:gridCol w:w="1944"/>
        <w:gridCol w:w="7301"/>
      </w:tblGrid>
      <w:tr>
        <w:trPr>
          <w:cantSplit/>
          <w:tblHeader/>
        </w:trPr>
        <w:tc>
          <w:tcPr>
            <w:tcW w:type="dxa" w:w="691"/>
            <w:vAlign w:val="center"/>
            <w:shd w:fill="E7EDF2"/>
          </w:tcPr>
          <w:p>
            <w:pPr>
              <w:spacing w:before="0" w:after="0" w:line="269" w:lineRule="auto"/>
              <w:jc w:val="center"/>
            </w:pPr>
            <w:r>
              <w:rPr>
                <w:rFonts w:ascii="Arial" w:hAnsi="Arial" w:eastAsia="Noto Sans CJK SC"/>
                <w:b/>
                <w:color w:val="000000"/>
                <w:sz w:val="21"/>
                <w:lang w:val="en-US" w:eastAsia="zh-CN"/>
              </w:rPr>
              <w:t>ID</w:t>
            </w:r>
          </w:p>
        </w:tc>
        <w:tc>
          <w:tcPr>
            <w:tcW w:type="dxa" w:w="1944"/>
            <w:vAlign w:val="center"/>
            <w:shd w:fill="E7EDF2"/>
          </w:tcPr>
          <w:p>
            <w:pPr>
              <w:spacing w:before="0" w:after="0" w:line="269" w:lineRule="auto"/>
            </w:pPr>
            <w:r>
              <w:rPr>
                <w:rFonts w:ascii="Arial" w:hAnsi="Arial" w:eastAsia="Noto Sans CJK SC"/>
                <w:b/>
                <w:color w:val="000000"/>
                <w:sz w:val="21"/>
                <w:lang w:val="en-US" w:eastAsia="zh-CN"/>
              </w:rPr>
              <w:t>Module</w:t>
            </w:r>
          </w:p>
        </w:tc>
        <w:tc>
          <w:tcPr>
            <w:tcW w:type="dxa" w:w="7301"/>
            <w:vAlign w:val="center"/>
            <w:shd w:fill="E7EDF2"/>
          </w:tcPr>
          <w:p>
            <w:pPr>
              <w:spacing w:before="0" w:after="0" w:line="269" w:lineRule="auto"/>
            </w:pPr>
            <w:r>
              <w:rPr>
                <w:rFonts w:ascii="Arial" w:hAnsi="Arial" w:eastAsia="Noto Sans CJK SC"/>
                <w:b/>
                <w:color w:val="000000"/>
                <w:sz w:val="21"/>
                <w:lang w:val="en-US" w:eastAsia="zh-CN"/>
              </w:rPr>
              <w:t>Included functions and information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M22</w:t>
            </w:r>
          </w:p>
        </w:tc>
        <w:tc>
          <w:tcPr>
            <w:tcW w:type="dxa" w:w="1944"/>
            <w:vAlign w:val="center"/>
          </w:tcPr>
          <w:p>
            <w:pPr>
              <w:spacing w:before="0" w:after="0" w:line="269" w:lineRule="auto"/>
            </w:pPr>
            <w:r>
              <w:rPr>
                <w:rFonts w:ascii="Arial" w:hAnsi="Arial" w:eastAsia="Noto Sans CJK SC"/>
                <w:b w:val="0"/>
                <w:color w:val="000000"/>
                <w:sz w:val="21"/>
                <w:lang w:val="en-US" w:eastAsia="zh-CN"/>
              </w:rPr>
              <w:t>Character and equipment check</w:t>
            </w:r>
          </w:p>
        </w:tc>
        <w:tc>
          <w:tcPr>
            <w:tcW w:type="dxa" w:w="7301"/>
            <w:vAlign w:val="center"/>
          </w:tcPr>
          <w:p>
            <w:pPr>
              <w:spacing w:before="0" w:after="0" w:line="269" w:lineRule="auto"/>
            </w:pPr>
            <w:r>
              <w:rPr>
                <w:rFonts w:ascii="Arial" w:hAnsi="Arial" w:eastAsia="Noto Sans CJK SC"/>
                <w:b w:val="0"/>
                <w:color w:val="000000"/>
                <w:sz w:val="21"/>
                <w:lang w:val="en-US" w:eastAsia="zh-CN"/>
              </w:rPr>
              <w:t>DollSinger, Hatsune Miku and Shian; actual equipment, empty slots and missing data.</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M23</w:t>
            </w:r>
          </w:p>
        </w:tc>
        <w:tc>
          <w:tcPr>
            <w:tcW w:type="dxa" w:w="1944"/>
            <w:vAlign w:val="center"/>
          </w:tcPr>
          <w:p>
            <w:pPr>
              <w:spacing w:before="0" w:after="0" w:line="269" w:lineRule="auto"/>
            </w:pPr>
            <w:r>
              <w:rPr>
                <w:rFonts w:ascii="Arial" w:hAnsi="Arial" w:eastAsia="Noto Sans CJK SC"/>
                <w:b w:val="0"/>
                <w:color w:val="000000"/>
                <w:sz w:val="21"/>
                <w:lang w:val="en-US" w:eastAsia="zh-CN"/>
              </w:rPr>
              <w:t>Destination</w:t>
            </w:r>
          </w:p>
        </w:tc>
        <w:tc>
          <w:tcPr>
            <w:tcW w:type="dxa" w:w="7301"/>
            <w:vAlign w:val="center"/>
          </w:tcPr>
          <w:p>
            <w:pPr>
              <w:spacing w:before="0" w:after="0" w:line="269" w:lineRule="auto"/>
            </w:pPr>
            <w:r>
              <w:rPr>
                <w:rFonts w:ascii="Arial" w:hAnsi="Arial" w:eastAsia="Noto Sans CJK SC"/>
                <w:b w:val="0"/>
                <w:color w:val="000000"/>
                <w:sz w:val="21"/>
                <w:lang w:val="en-US" w:eastAsia="zh-CN"/>
              </w:rPr>
              <w:t>Available destination, area and mission context; unavailable destinations.</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M24</w:t>
            </w:r>
          </w:p>
        </w:tc>
        <w:tc>
          <w:tcPr>
            <w:tcW w:type="dxa" w:w="1944"/>
            <w:vAlign w:val="center"/>
          </w:tcPr>
          <w:p>
            <w:pPr>
              <w:spacing w:before="0" w:after="0" w:line="269" w:lineRule="auto"/>
            </w:pPr>
            <w:r>
              <w:rPr>
                <w:rFonts w:ascii="Arial" w:hAnsi="Arial" w:eastAsia="Noto Sans CJK SC"/>
                <w:b w:val="0"/>
                <w:color w:val="000000"/>
                <w:sz w:val="21"/>
                <w:lang w:val="en-US" w:eastAsia="zh-CN"/>
              </w:rPr>
              <w:t>Briefing and carry</w:t>
            </w:r>
          </w:p>
        </w:tc>
        <w:tc>
          <w:tcPr>
            <w:tcW w:type="dxa" w:w="7301"/>
            <w:vAlign w:val="center"/>
          </w:tcPr>
          <w:p>
            <w:pPr>
              <w:spacing w:before="0" w:after="0" w:line="269" w:lineRule="auto"/>
            </w:pPr>
            <w:r>
              <w:rPr>
                <w:rFonts w:ascii="Arial" w:hAnsi="Arial" w:eastAsia="Noto Sans CJK SC"/>
                <w:b w:val="0"/>
                <w:color w:val="000000"/>
                <w:sz w:val="21"/>
                <w:lang w:val="en-US" w:eastAsia="zh-CN"/>
              </w:rPr>
              <w:t>Loot, survival and extraction goals; actual carried battery count and limit.</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M25</w:t>
            </w:r>
          </w:p>
        </w:tc>
        <w:tc>
          <w:tcPr>
            <w:tcW w:type="dxa" w:w="1944"/>
            <w:vAlign w:val="center"/>
          </w:tcPr>
          <w:p>
            <w:pPr>
              <w:spacing w:before="0" w:after="0" w:line="269" w:lineRule="auto"/>
            </w:pPr>
            <w:r>
              <w:rPr>
                <w:rFonts w:ascii="Arial" w:hAnsi="Arial" w:eastAsia="Noto Sans CJK SC"/>
                <w:b w:val="0"/>
                <w:color w:val="000000"/>
                <w:sz w:val="21"/>
                <w:lang w:val="en-US" w:eastAsia="zh-CN"/>
              </w:rPr>
              <w:t>Risk and recovery</w:t>
            </w:r>
          </w:p>
        </w:tc>
        <w:tc>
          <w:tcPr>
            <w:tcW w:type="dxa" w:w="7301"/>
            <w:vAlign w:val="center"/>
          </w:tcPr>
          <w:p>
            <w:pPr>
              <w:spacing w:before="0" w:after="0" w:line="269" w:lineRule="auto"/>
            </w:pPr>
            <w:r>
              <w:rPr>
                <w:rFonts w:ascii="Arial" w:hAnsi="Arial" w:eastAsia="Noto Sans CJK SC"/>
                <w:b w:val="0"/>
                <w:color w:val="000000"/>
                <w:sz w:val="21"/>
                <w:lang w:val="en-US" w:eastAsia="zh-CN"/>
              </w:rPr>
              <w:t>Loss on death; pre-deployment insurance is unavailable. Separate from the secure container and recovery inbox.</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M26</w:t>
            </w:r>
          </w:p>
        </w:tc>
        <w:tc>
          <w:tcPr>
            <w:tcW w:type="dxa" w:w="1944"/>
            <w:vAlign w:val="center"/>
          </w:tcPr>
          <w:p>
            <w:pPr>
              <w:spacing w:before="0" w:after="0" w:line="269" w:lineRule="auto"/>
            </w:pPr>
            <w:r>
              <w:rPr>
                <w:rFonts w:ascii="Arial" w:hAnsi="Arial" w:eastAsia="Noto Sans CJK SC"/>
                <w:b w:val="0"/>
                <w:color w:val="000000"/>
                <w:sz w:val="21"/>
                <w:lang w:val="en-US" w:eastAsia="zh-CN"/>
              </w:rPr>
              <w:t>Final confirmation</w:t>
            </w:r>
          </w:p>
        </w:tc>
        <w:tc>
          <w:tcPr>
            <w:tcW w:type="dxa" w:w="7301"/>
            <w:vAlign w:val="center"/>
          </w:tcPr>
          <w:p>
            <w:pPr>
              <w:spacing w:before="0" w:after="0" w:line="269" w:lineRule="auto"/>
            </w:pPr>
            <w:r>
              <w:rPr>
                <w:rFonts w:ascii="Arial" w:hAnsi="Arial" w:eastAsia="Noto Sans CJK SC"/>
                <w:b w:val="0"/>
                <w:color w:val="000000"/>
                <w:sz w:val="21"/>
                <w:lang w:val="en-US" w:eastAsia="zh-CN"/>
              </w:rPr>
              <w:t>Character, destination, mode, gear and carry summary; submit, wait and return to edit.</w:t>
            </w:r>
          </w:p>
        </w:tc>
      </w:tr>
    </w:tbl>
    <w:p>
      <w:pPr>
        <w:spacing w:after="20" w:before="0" w:line="96" w:lineRule="auto"/>
      </w:pPr>
      <w:r>
        <w:rPr>
          <w:sz w:val="4"/>
        </w:rPr>
      </w:r>
    </w:p>
    <w:p>
      <w:r>
        <w:rPr>
          <w:rFonts w:ascii="Arial" w:hAnsi="Arial" w:eastAsia="Noto Sans CJK SC"/>
          <w:b w:val="0"/>
          <w:color w:val="000000"/>
          <w:lang w:val="en-US" w:eastAsia="zh-CN"/>
        </w:rPr>
        <w:t>Relationships: the main menu leads to management or preparation. Preparation can return to equipment. Online co-op can start solo; friend versus needs valid opposing teams. LAN capacity is mode-specific, rather than the online squad limit.</w:t>
      </w:r>
    </w:p>
    <w:p>
      <w:r>
        <w:br w:type="page"/>
      </w:r>
    </w:p>
    <w:p>
      <w:pPr>
        <w:pStyle w:val="Heading1"/>
      </w:pPr>
      <w:r>
        <w:rPr>
          <w:rFonts w:ascii="Arial" w:hAnsi="Arial" w:eastAsia="Noto Sans CJK SC"/>
          <w:b w:val="0"/>
          <w:color w:val="000000"/>
          <w:lang w:val="en-US" w:eastAsia="zh-CN"/>
        </w:rPr>
        <w:t>Equipment items and Halo hierarchy</w:t>
      </w:r>
    </w:p>
    <w:p>
      <w:pPr>
        <w:pStyle w:val="Heading2"/>
      </w:pPr>
      <w:r>
        <w:rPr>
          <w:rFonts w:ascii="Arial" w:hAnsi="Arial" w:eastAsia="Noto Sans CJK SC"/>
          <w:b w:val="0"/>
          <w:color w:val="000000"/>
          <w:lang w:val="en-US" w:eastAsia="zh-CN"/>
        </w:rPr>
        <w:t>Equipment and storage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691"/>
        <w:gridCol w:w="1944"/>
        <w:gridCol w:w="7301"/>
      </w:tblGrid>
      <w:tr>
        <w:trPr>
          <w:cantSplit/>
          <w:tblHeader/>
        </w:trPr>
        <w:tc>
          <w:tcPr>
            <w:tcW w:type="dxa" w:w="691"/>
            <w:vAlign w:val="center"/>
            <w:shd w:fill="E7EDF2"/>
          </w:tcPr>
          <w:p>
            <w:pPr>
              <w:spacing w:before="0" w:after="0" w:line="269" w:lineRule="auto"/>
              <w:jc w:val="center"/>
            </w:pPr>
            <w:r>
              <w:rPr>
                <w:rFonts w:ascii="Arial" w:hAnsi="Arial" w:eastAsia="Noto Sans CJK SC"/>
                <w:b/>
                <w:color w:val="000000"/>
                <w:sz w:val="21"/>
                <w:lang w:val="en-US" w:eastAsia="zh-CN"/>
              </w:rPr>
              <w:t>ID</w:t>
            </w:r>
          </w:p>
        </w:tc>
        <w:tc>
          <w:tcPr>
            <w:tcW w:type="dxa" w:w="1944"/>
            <w:vAlign w:val="center"/>
            <w:shd w:fill="E7EDF2"/>
          </w:tcPr>
          <w:p>
            <w:pPr>
              <w:spacing w:before="0" w:after="0" w:line="269" w:lineRule="auto"/>
            </w:pPr>
            <w:r>
              <w:rPr>
                <w:rFonts w:ascii="Arial" w:hAnsi="Arial" w:eastAsia="Noto Sans CJK SC"/>
                <w:b/>
                <w:color w:val="000000"/>
                <w:sz w:val="21"/>
                <w:lang w:val="en-US" w:eastAsia="zh-CN"/>
              </w:rPr>
              <w:t>Module</w:t>
            </w:r>
          </w:p>
        </w:tc>
        <w:tc>
          <w:tcPr>
            <w:tcW w:type="dxa" w:w="7301"/>
            <w:vAlign w:val="center"/>
            <w:shd w:fill="E7EDF2"/>
          </w:tcPr>
          <w:p>
            <w:pPr>
              <w:spacing w:before="0" w:after="0" w:line="269" w:lineRule="auto"/>
            </w:pPr>
            <w:r>
              <w:rPr>
                <w:rFonts w:ascii="Arial" w:hAnsi="Arial" w:eastAsia="Noto Sans CJK SC"/>
                <w:b/>
                <w:color w:val="000000"/>
                <w:sz w:val="21"/>
                <w:lang w:val="en-US" w:eastAsia="zh-CN"/>
              </w:rPr>
              <w:t>Included functions and information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M07</w:t>
            </w:r>
          </w:p>
        </w:tc>
        <w:tc>
          <w:tcPr>
            <w:tcW w:type="dxa" w:w="1944"/>
            <w:vAlign w:val="center"/>
          </w:tcPr>
          <w:p>
            <w:pPr>
              <w:spacing w:before="0" w:after="0" w:line="269" w:lineRule="auto"/>
            </w:pPr>
            <w:r>
              <w:rPr>
                <w:rFonts w:ascii="Arial" w:hAnsi="Arial" w:eastAsia="Noto Sans CJK SC"/>
                <w:b w:val="0"/>
                <w:color w:val="000000"/>
                <w:sz w:val="21"/>
                <w:lang w:val="en-US" w:eastAsia="zh-CN"/>
              </w:rPr>
              <w:t>Body equipment</w:t>
            </w:r>
          </w:p>
        </w:tc>
        <w:tc>
          <w:tcPr>
            <w:tcW w:type="dxa" w:w="7301"/>
            <w:vAlign w:val="center"/>
          </w:tcPr>
          <w:p>
            <w:pPr>
              <w:spacing w:before="0" w:after="0" w:line="269" w:lineRule="auto"/>
            </w:pPr>
            <w:r>
              <w:rPr>
                <w:rFonts w:ascii="Arial" w:hAnsi="Arial" w:eastAsia="Noto Sans CJK SC"/>
                <w:b w:val="0"/>
                <w:color w:val="000000"/>
                <w:sz w:val="21"/>
                <w:lang w:val="en-US" w:eastAsia="zh-CN"/>
              </w:rPr>
              <w:t>Six slots: collar, shield, primary, secondary, pistol and melee; character identity and equipment state.</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M08</w:t>
            </w:r>
          </w:p>
        </w:tc>
        <w:tc>
          <w:tcPr>
            <w:tcW w:type="dxa" w:w="1944"/>
            <w:vAlign w:val="center"/>
          </w:tcPr>
          <w:p>
            <w:pPr>
              <w:spacing w:before="0" w:after="0" w:line="269" w:lineRule="auto"/>
            </w:pPr>
            <w:r>
              <w:rPr>
                <w:rFonts w:ascii="Arial" w:hAnsi="Arial" w:eastAsia="Noto Sans CJK SC"/>
                <w:b w:val="0"/>
                <w:color w:val="000000"/>
                <w:sz w:val="21"/>
                <w:lang w:val="en-US" w:eastAsia="zh-CN"/>
              </w:rPr>
              <w:t>Carried storage</w:t>
            </w:r>
          </w:p>
        </w:tc>
        <w:tc>
          <w:tcPr>
            <w:tcW w:type="dxa" w:w="7301"/>
            <w:vAlign w:val="center"/>
          </w:tcPr>
          <w:p>
            <w:pPr>
              <w:spacing w:before="0" w:after="0" w:line="269" w:lineRule="auto"/>
            </w:pPr>
            <w:r>
              <w:rPr>
                <w:rFonts w:ascii="Arial" w:hAnsi="Arial" w:eastAsia="Noto Sans CJK SC"/>
                <w:b w:val="0"/>
                <w:color w:val="000000"/>
                <w:sz w:val="21"/>
                <w:lang w:val="en-US" w:eastAsia="zh-CN"/>
              </w:rPr>
              <w:t>Pockets, rig and backpack; container access, contents and unequipped state.</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M09</w:t>
            </w:r>
          </w:p>
        </w:tc>
        <w:tc>
          <w:tcPr>
            <w:tcW w:type="dxa" w:w="1944"/>
            <w:vAlign w:val="center"/>
          </w:tcPr>
          <w:p>
            <w:pPr>
              <w:spacing w:before="0" w:after="0" w:line="269" w:lineRule="auto"/>
            </w:pPr>
            <w:r>
              <w:rPr>
                <w:rFonts w:ascii="Arial" w:hAnsi="Arial" w:eastAsia="Noto Sans CJK SC"/>
                <w:b w:val="0"/>
                <w:color w:val="000000"/>
                <w:sz w:val="21"/>
                <w:lang w:val="en-US" w:eastAsia="zh-CN"/>
              </w:rPr>
              <w:t>Personal stash</w:t>
            </w:r>
          </w:p>
        </w:tc>
        <w:tc>
          <w:tcPr>
            <w:tcW w:type="dxa" w:w="7301"/>
            <w:vAlign w:val="center"/>
          </w:tcPr>
          <w:p>
            <w:pPr>
              <w:spacing w:before="0" w:after="0" w:line="269" w:lineRule="auto"/>
            </w:pPr>
            <w:r>
              <w:rPr>
                <w:rFonts w:ascii="Arial" w:hAnsi="Arial" w:eastAsia="Noto Sans CJK SC"/>
                <w:b w:val="0"/>
                <w:color w:val="000000"/>
                <w:sz w:val="21"/>
                <w:lang w:val="en-US" w:eastAsia="zh-CN"/>
              </w:rPr>
              <w:t>Stored items, capacity, weight, scrolling, full storage, loading and session lock.</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M11</w:t>
            </w:r>
          </w:p>
        </w:tc>
        <w:tc>
          <w:tcPr>
            <w:tcW w:type="dxa" w:w="1944"/>
            <w:vAlign w:val="center"/>
          </w:tcPr>
          <w:p>
            <w:pPr>
              <w:spacing w:before="0" w:after="0" w:line="269" w:lineRule="auto"/>
            </w:pPr>
            <w:r>
              <w:rPr>
                <w:rFonts w:ascii="Arial" w:hAnsi="Arial" w:eastAsia="Noto Sans CJK SC"/>
                <w:b w:val="0"/>
                <w:color w:val="000000"/>
                <w:sz w:val="21"/>
                <w:lang w:val="en-US" w:eastAsia="zh-CN"/>
              </w:rPr>
              <w:t>Item and container operations</w:t>
            </w:r>
          </w:p>
        </w:tc>
        <w:tc>
          <w:tcPr>
            <w:tcW w:type="dxa" w:w="7301"/>
            <w:vAlign w:val="center"/>
          </w:tcPr>
          <w:p>
            <w:pPr>
              <w:spacing w:before="0" w:after="0" w:line="269" w:lineRule="auto"/>
            </w:pPr>
            <w:r>
              <w:rPr>
                <w:rFonts w:ascii="Arial" w:hAnsi="Arial" w:eastAsia="Noto Sans CJK SC"/>
                <w:b w:val="0"/>
                <w:color w:val="000000"/>
                <w:sz w:val="21"/>
                <w:lang w:val="en-US" w:eastAsia="zh-CN"/>
              </w:rPr>
              <w:t>Inspect, context menu, split stack, drag, rotate, quick transfer and container windows.</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M12</w:t>
            </w:r>
          </w:p>
        </w:tc>
        <w:tc>
          <w:tcPr>
            <w:tcW w:type="dxa" w:w="1944"/>
            <w:vAlign w:val="center"/>
          </w:tcPr>
          <w:p>
            <w:pPr>
              <w:spacing w:before="0" w:after="0" w:line="269" w:lineRule="auto"/>
            </w:pPr>
            <w:r>
              <w:rPr>
                <w:rFonts w:ascii="Arial" w:hAnsi="Arial" w:eastAsia="Noto Sans CJK SC"/>
                <w:b w:val="0"/>
                <w:color w:val="000000"/>
                <w:sz w:val="21"/>
                <w:lang w:val="en-US" w:eastAsia="zh-CN"/>
              </w:rPr>
              <w:t>Secure</w:t>
              <w:br/>
              <w:t>container</w:t>
            </w:r>
          </w:p>
        </w:tc>
        <w:tc>
          <w:tcPr>
            <w:tcW w:type="dxa" w:w="7301"/>
            <w:vAlign w:val="center"/>
          </w:tcPr>
          <w:p>
            <w:pPr>
              <w:spacing w:before="0" w:after="0" w:line="269" w:lineRule="auto"/>
            </w:pPr>
            <w:r>
              <w:rPr>
                <w:rFonts w:ascii="Arial" w:hAnsi="Arial" w:eastAsia="Noto Sans CJK SC"/>
                <w:b w:val="0"/>
                <w:color w:val="000000"/>
                <w:sz w:val="21"/>
                <w:lang w:val="en-US" w:eastAsia="zh-CN"/>
              </w:rPr>
              <w:t>Dedicated slot and 2×2 interior; restrictions, full state and protection rules.</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M13</w:t>
            </w:r>
          </w:p>
        </w:tc>
        <w:tc>
          <w:tcPr>
            <w:tcW w:type="dxa" w:w="1944"/>
            <w:vAlign w:val="center"/>
          </w:tcPr>
          <w:p>
            <w:pPr>
              <w:spacing w:before="0" w:after="0" w:line="269" w:lineRule="auto"/>
            </w:pPr>
            <w:r>
              <w:rPr>
                <w:rFonts w:ascii="Arial" w:hAnsi="Arial" w:eastAsia="Noto Sans CJK SC"/>
                <w:b w:val="0"/>
                <w:color w:val="000000"/>
                <w:sz w:val="21"/>
                <w:lang w:val="en-US" w:eastAsia="zh-CN"/>
              </w:rPr>
              <w:t>Special tools</w:t>
            </w:r>
          </w:p>
        </w:tc>
        <w:tc>
          <w:tcPr>
            <w:tcW w:type="dxa" w:w="7301"/>
            <w:vAlign w:val="center"/>
          </w:tcPr>
          <w:p>
            <w:pPr>
              <w:spacing w:before="0" w:after="0" w:line="269" w:lineRule="auto"/>
            </w:pPr>
            <w:r>
              <w:rPr>
                <w:rFonts w:ascii="Arial" w:hAnsi="Arial" w:eastAsia="Noto Sans CJK SC"/>
                <w:b w:val="0"/>
                <w:color w:val="000000"/>
                <w:sz w:val="21"/>
                <w:lang w:val="en-US" w:eastAsia="zh-CN"/>
              </w:rPr>
              <w:t>Three dedicated slots, compass and rangefinder; in-session heading or distance, including invalid readings.</w:t>
            </w:r>
          </w:p>
        </w:tc>
      </w:tr>
    </w:tbl>
    <w:p>
      <w:pPr>
        <w:spacing w:after="20" w:before="0" w:line="96" w:lineRule="auto"/>
      </w:pPr>
      <w:r>
        <w:rPr>
          <w:sz w:val="4"/>
        </w:rPr>
      </w:r>
    </w:p>
    <w:p>
      <w:r>
        <w:rPr>
          <w:rFonts w:ascii="Arial" w:hAnsi="Arial" w:eastAsia="Noto Sans CJK SC"/>
          <w:b w:val="0"/>
          <w:color w:val="000000"/>
          <w:lang w:val="en-US" w:eastAsia="zh-CN"/>
        </w:rPr>
        <w:t>Equipment hierarchy: six body slots, rig and backpack, one secure container and three tool slots make twelve equipment destinations. Pockets are fixed storage, not an equipment slot. Items can contain nested storage; this is more than a flat list.</w:t>
      </w:r>
    </w:p>
    <w:p>
      <w:r>
        <w:rPr>
          <w:rFonts w:ascii="Arial" w:hAnsi="Arial" w:eastAsia="Noto Sans CJK SC"/>
          <w:b w:val="0"/>
          <w:color w:val="000000"/>
          <w:lang w:val="en-US" w:eastAsia="zh-CN"/>
        </w:rPr>
        <w:t>Secure-container protection applies only in its dedicated slot. Tools in dedicated slots also have retention rules on failure. Protected returns are not successful extraction and do not grant first-recovery achievements.</w:t>
      </w:r>
    </w:p>
    <w:p>
      <w:pPr>
        <w:pStyle w:val="Heading2"/>
      </w:pPr>
      <w:r>
        <w:rPr>
          <w:rFonts w:ascii="Arial" w:hAnsi="Arial" w:eastAsia="Noto Sans CJK SC"/>
          <w:b w:val="0"/>
          <w:color w:val="000000"/>
          <w:lang w:val="en-US" w:eastAsia="zh-CN"/>
        </w:rPr>
        <w:t>Halo weapons and modules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691"/>
        <w:gridCol w:w="1944"/>
        <w:gridCol w:w="7301"/>
      </w:tblGrid>
      <w:tr>
        <w:trPr>
          <w:cantSplit/>
          <w:tblHeader/>
        </w:trPr>
        <w:tc>
          <w:tcPr>
            <w:tcW w:type="dxa" w:w="691"/>
            <w:vAlign w:val="center"/>
            <w:shd w:fill="E7EDF2"/>
          </w:tcPr>
          <w:p>
            <w:pPr>
              <w:spacing w:before="0" w:after="0" w:line="269" w:lineRule="auto"/>
              <w:jc w:val="center"/>
            </w:pPr>
            <w:r>
              <w:rPr>
                <w:rFonts w:ascii="Arial" w:hAnsi="Arial" w:eastAsia="Noto Sans CJK SC"/>
                <w:b/>
                <w:color w:val="000000"/>
                <w:sz w:val="21"/>
                <w:lang w:val="en-US" w:eastAsia="zh-CN"/>
              </w:rPr>
              <w:t>ID</w:t>
            </w:r>
          </w:p>
        </w:tc>
        <w:tc>
          <w:tcPr>
            <w:tcW w:type="dxa" w:w="1944"/>
            <w:vAlign w:val="center"/>
            <w:shd w:fill="E7EDF2"/>
          </w:tcPr>
          <w:p>
            <w:pPr>
              <w:spacing w:before="0" w:after="0" w:line="269" w:lineRule="auto"/>
            </w:pPr>
            <w:r>
              <w:rPr>
                <w:rFonts w:ascii="Arial" w:hAnsi="Arial" w:eastAsia="Noto Sans CJK SC"/>
                <w:b/>
                <w:color w:val="000000"/>
                <w:sz w:val="21"/>
                <w:lang w:val="en-US" w:eastAsia="zh-CN"/>
              </w:rPr>
              <w:t>Module</w:t>
            </w:r>
          </w:p>
        </w:tc>
        <w:tc>
          <w:tcPr>
            <w:tcW w:type="dxa" w:w="7301"/>
            <w:vAlign w:val="center"/>
            <w:shd w:fill="E7EDF2"/>
          </w:tcPr>
          <w:p>
            <w:pPr>
              <w:spacing w:before="0" w:after="0" w:line="269" w:lineRule="auto"/>
            </w:pPr>
            <w:r>
              <w:rPr>
                <w:rFonts w:ascii="Arial" w:hAnsi="Arial" w:eastAsia="Noto Sans CJK SC"/>
                <w:b/>
                <w:color w:val="000000"/>
                <w:sz w:val="21"/>
                <w:lang w:val="en-US" w:eastAsia="zh-CN"/>
              </w:rPr>
              <w:t>Included functions and information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M14</w:t>
            </w:r>
          </w:p>
        </w:tc>
        <w:tc>
          <w:tcPr>
            <w:tcW w:type="dxa" w:w="1944"/>
            <w:vAlign w:val="center"/>
          </w:tcPr>
          <w:p>
            <w:pPr>
              <w:spacing w:before="0" w:after="0" w:line="269" w:lineRule="auto"/>
            </w:pPr>
            <w:r>
              <w:rPr>
                <w:rFonts w:ascii="Arial" w:hAnsi="Arial" w:eastAsia="Noto Sans CJK SC"/>
                <w:b w:val="0"/>
                <w:color w:val="000000"/>
                <w:sz w:val="21"/>
                <w:lang w:val="en-US" w:eastAsia="zh-CN"/>
              </w:rPr>
              <w:t>Halo overview</w:t>
            </w:r>
          </w:p>
        </w:tc>
        <w:tc>
          <w:tcPr>
            <w:tcW w:type="dxa" w:w="7301"/>
            <w:vAlign w:val="center"/>
          </w:tcPr>
          <w:p>
            <w:pPr>
              <w:spacing w:before="0" w:after="0" w:line="269" w:lineRule="auto"/>
            </w:pPr>
            <w:r>
              <w:rPr>
                <w:rFonts w:ascii="Arial" w:hAnsi="Arial" w:eastAsia="Noto Sans CJK SC"/>
                <w:b w:val="0"/>
                <w:color w:val="000000"/>
                <w:sz w:val="21"/>
                <w:lang w:val="en-US" w:eastAsia="zh-CN"/>
              </w:rPr>
              <w:t>Weapon identity, structure and module guide. The current guide is not the player's live build.</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M15</w:t>
            </w:r>
          </w:p>
        </w:tc>
        <w:tc>
          <w:tcPr>
            <w:tcW w:type="dxa" w:w="1944"/>
            <w:vAlign w:val="center"/>
          </w:tcPr>
          <w:p>
            <w:pPr>
              <w:spacing w:before="0" w:after="0" w:line="269" w:lineRule="auto"/>
            </w:pPr>
            <w:r>
              <w:rPr>
                <w:rFonts w:ascii="Arial" w:hAnsi="Arial" w:eastAsia="Noto Sans CJK SC"/>
                <w:b w:val="0"/>
                <w:color w:val="000000"/>
                <w:sz w:val="21"/>
                <w:lang w:val="en-US" w:eastAsia="zh-CN"/>
              </w:rPr>
              <w:t>Physical Halo modification</w:t>
            </w:r>
          </w:p>
        </w:tc>
        <w:tc>
          <w:tcPr>
            <w:tcW w:type="dxa" w:w="7301"/>
            <w:vAlign w:val="center"/>
          </w:tcPr>
          <w:p>
            <w:pPr>
              <w:spacing w:before="0" w:after="0" w:line="269" w:lineRule="auto"/>
            </w:pPr>
            <w:r>
              <w:rPr>
                <w:rFonts w:ascii="Arial" w:hAnsi="Arial" w:eastAsia="Noto Sans CJK SC"/>
                <w:b w:val="0"/>
                <w:color w:val="000000"/>
                <w:sz w:val="21"/>
                <w:lang w:val="en-US" w:eastAsia="zh-CN"/>
              </w:rPr>
              <w:t>Select an owned weapon; storage, shaping and function slots; compatibility, install, replace, remove and compare.</w:t>
            </w:r>
          </w:p>
        </w:tc>
      </w:tr>
    </w:tbl>
    <w:p>
      <w:pPr>
        <w:spacing w:after="20" w:before="0" w:line="96" w:lineRule="auto"/>
      </w:pPr>
      <w:r>
        <w:rPr>
          <w:sz w:val="4"/>
        </w:rPr>
      </w:r>
    </w:p>
    <w:p>
      <w:r>
        <w:rPr>
          <w:rFonts w:ascii="Arial" w:hAnsi="Arial" w:eastAsia="Noto Sans CJK SC"/>
          <w:b w:val="0"/>
          <w:color w:val="000000"/>
          <w:lang w:val="en-US" w:eastAsia="zh-CN"/>
        </w:rPr>
        <w:t>There are thirteen distinct Halo appearances across fourteen inventory codes; compact shares rifle art. Six original modules plus the Mooncore recycler make seven modules. Physical modification supports rifle, compact rifle and shotgun Halos; editing is available at base and read-only in-session.</w:t>
      </w:r>
    </w:p>
    <w:p>
      <w:r>
        <w:rPr>
          <w:rFonts w:ascii="Arial" w:hAnsi="Arial" w:eastAsia="Noto Sans CJK SC"/>
          <w:b w:val="0"/>
          <w:color w:val="000000"/>
          <w:lang w:val="en-US" w:eastAsia="zh-CN"/>
        </w:rPr>
        <w:t>Equipment and item functions are shared by stash, deployment checks, in-session inventory and looting. Portraits must match character identity; an unknown corpse must not use the local player's portrait.</w:t>
      </w:r>
    </w:p>
    <w:p>
      <w:r>
        <w:br w:type="page"/>
      </w:r>
    </w:p>
    <w:p>
      <w:pPr>
        <w:pStyle w:val="Heading1"/>
      </w:pPr>
      <w:r>
        <w:rPr>
          <w:rFonts w:ascii="Arial" w:hAnsi="Arial" w:eastAsia="Noto Sans CJK SC"/>
          <w:b w:val="0"/>
          <w:color w:val="000000"/>
          <w:lang w:val="en-US" w:eastAsia="zh-CN"/>
        </w:rPr>
        <w:t>Trade progression and base support</w:t>
      </w:r>
    </w:p>
    <w:p>
      <w:pPr>
        <w:pStyle w:val="Heading2"/>
      </w:pPr>
      <w:r>
        <w:rPr>
          <w:rFonts w:ascii="Arial" w:hAnsi="Arial" w:eastAsia="Noto Sans CJK SC"/>
          <w:b w:val="0"/>
          <w:color w:val="000000"/>
          <w:lang w:val="en-US" w:eastAsia="zh-CN"/>
        </w:rPr>
        <w:t>Economy and progression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691"/>
        <w:gridCol w:w="1944"/>
        <w:gridCol w:w="7301"/>
      </w:tblGrid>
      <w:tr>
        <w:trPr>
          <w:cantSplit/>
          <w:tblHeader/>
        </w:trPr>
        <w:tc>
          <w:tcPr>
            <w:tcW w:type="dxa" w:w="691"/>
            <w:vAlign w:val="center"/>
            <w:shd w:fill="E7EDF2"/>
          </w:tcPr>
          <w:p>
            <w:pPr>
              <w:spacing w:before="0" w:after="0" w:line="269" w:lineRule="auto"/>
              <w:jc w:val="center"/>
            </w:pPr>
            <w:r>
              <w:rPr>
                <w:rFonts w:ascii="Arial" w:hAnsi="Arial" w:eastAsia="Noto Sans CJK SC"/>
                <w:b/>
                <w:color w:val="000000"/>
                <w:sz w:val="21"/>
                <w:lang w:val="en-US" w:eastAsia="zh-CN"/>
              </w:rPr>
              <w:t>ID</w:t>
            </w:r>
          </w:p>
        </w:tc>
        <w:tc>
          <w:tcPr>
            <w:tcW w:type="dxa" w:w="1944"/>
            <w:vAlign w:val="center"/>
            <w:shd w:fill="E7EDF2"/>
          </w:tcPr>
          <w:p>
            <w:pPr>
              <w:spacing w:before="0" w:after="0" w:line="269" w:lineRule="auto"/>
            </w:pPr>
            <w:r>
              <w:rPr>
                <w:rFonts w:ascii="Arial" w:hAnsi="Arial" w:eastAsia="Noto Sans CJK SC"/>
                <w:b/>
                <w:color w:val="000000"/>
                <w:sz w:val="21"/>
                <w:lang w:val="en-US" w:eastAsia="zh-CN"/>
              </w:rPr>
              <w:t>Module</w:t>
            </w:r>
          </w:p>
        </w:tc>
        <w:tc>
          <w:tcPr>
            <w:tcW w:type="dxa" w:w="7301"/>
            <w:vAlign w:val="center"/>
            <w:shd w:fill="E7EDF2"/>
          </w:tcPr>
          <w:p>
            <w:pPr>
              <w:spacing w:before="0" w:after="0" w:line="269" w:lineRule="auto"/>
            </w:pPr>
            <w:r>
              <w:rPr>
                <w:rFonts w:ascii="Arial" w:hAnsi="Arial" w:eastAsia="Noto Sans CJK SC"/>
                <w:b/>
                <w:color w:val="000000"/>
                <w:sz w:val="21"/>
                <w:lang w:val="en-US" w:eastAsia="zh-CN"/>
              </w:rPr>
              <w:t>Included functions and information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M16</w:t>
            </w:r>
          </w:p>
        </w:tc>
        <w:tc>
          <w:tcPr>
            <w:tcW w:type="dxa" w:w="1944"/>
            <w:vAlign w:val="center"/>
          </w:tcPr>
          <w:p>
            <w:pPr>
              <w:spacing w:before="0" w:after="0" w:line="269" w:lineRule="auto"/>
            </w:pPr>
            <w:r>
              <w:rPr>
                <w:rFonts w:ascii="Arial" w:hAnsi="Arial" w:eastAsia="Noto Sans CJK SC"/>
                <w:b w:val="0"/>
                <w:color w:val="000000"/>
                <w:sz w:val="21"/>
                <w:lang w:val="en-US" w:eastAsia="zh-CN"/>
              </w:rPr>
              <w:t>Supplier directory</w:t>
            </w:r>
          </w:p>
        </w:tc>
        <w:tc>
          <w:tcPr>
            <w:tcW w:type="dxa" w:w="7301"/>
            <w:vAlign w:val="center"/>
          </w:tcPr>
          <w:p>
            <w:pPr>
              <w:spacing w:before="0" w:after="0" w:line="269" w:lineRule="auto"/>
            </w:pPr>
            <w:r>
              <w:rPr>
                <w:rFonts w:ascii="Arial" w:hAnsi="Arial" w:eastAsia="Noto Sans CJK SC"/>
                <w:b w:val="0"/>
                <w:color w:val="000000"/>
                <w:sz w:val="21"/>
                <w:lang w:val="en-US" w:eastAsia="zh-CN"/>
              </w:rPr>
              <w:t>Supplier identity, offerings, and access to trade, research and fabrication.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M17</w:t>
            </w:r>
          </w:p>
        </w:tc>
        <w:tc>
          <w:tcPr>
            <w:tcW w:type="dxa" w:w="1944"/>
            <w:vAlign w:val="center"/>
          </w:tcPr>
          <w:p>
            <w:pPr>
              <w:spacing w:before="0" w:after="0" w:line="269" w:lineRule="auto"/>
            </w:pPr>
            <w:r>
              <w:rPr>
                <w:rFonts w:ascii="Arial" w:hAnsi="Arial" w:eastAsia="Noto Sans CJK SC"/>
                <w:b w:val="0"/>
                <w:color w:val="000000"/>
                <w:sz w:val="21"/>
                <w:lang w:val="en-US" w:eastAsia="zh-CN"/>
              </w:rPr>
              <w:t>Buying and selling</w:t>
            </w:r>
          </w:p>
        </w:tc>
        <w:tc>
          <w:tcPr>
            <w:tcW w:type="dxa" w:w="7301"/>
            <w:vAlign w:val="center"/>
          </w:tcPr>
          <w:p>
            <w:pPr>
              <w:spacing w:before="0" w:after="0" w:line="269" w:lineRule="auto"/>
            </w:pPr>
            <w:r>
              <w:rPr>
                <w:rFonts w:ascii="Arial" w:hAnsi="Arial" w:eastAsia="Noto Sans CJK SC"/>
                <w:b w:val="0"/>
                <w:color w:val="000000"/>
                <w:sz w:val="21"/>
                <w:lang w:val="en-US" w:eastAsia="zh-CN"/>
              </w:rPr>
              <w:t>Item, purpose, quantity, price, balance, capacity, sale eligibility and result.</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M18</w:t>
            </w:r>
          </w:p>
        </w:tc>
        <w:tc>
          <w:tcPr>
            <w:tcW w:type="dxa" w:w="1944"/>
            <w:vAlign w:val="center"/>
          </w:tcPr>
          <w:p>
            <w:pPr>
              <w:spacing w:before="0" w:after="0" w:line="269" w:lineRule="auto"/>
            </w:pPr>
            <w:r>
              <w:rPr>
                <w:rFonts w:ascii="Arial" w:hAnsi="Arial" w:eastAsia="Noto Sans CJK SC"/>
                <w:b w:val="0"/>
                <w:color w:val="000000"/>
                <w:sz w:val="21"/>
                <w:lang w:val="en-US" w:eastAsia="zh-CN"/>
              </w:rPr>
              <w:t>Emergency supplies</w:t>
            </w:r>
          </w:p>
        </w:tc>
        <w:tc>
          <w:tcPr>
            <w:tcW w:type="dxa" w:w="7301"/>
            <w:vAlign w:val="center"/>
          </w:tcPr>
          <w:p>
            <w:pPr>
              <w:spacing w:before="0" w:after="0" w:line="269" w:lineRule="auto"/>
            </w:pPr>
            <w:r>
              <w:rPr>
                <w:rFonts w:ascii="Arial" w:hAnsi="Arial" w:eastAsia="Noto Sans CJK SC"/>
                <w:b w:val="0"/>
                <w:color w:val="000000"/>
                <w:sz w:val="21"/>
                <w:lang w:val="en-US" w:eastAsia="zh-CN"/>
              </w:rPr>
              <w:t>Bundle contents, eligibility and result. Current rules allow repeat claims when no Halo weapon remains.</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M19</w:t>
            </w:r>
          </w:p>
        </w:tc>
        <w:tc>
          <w:tcPr>
            <w:tcW w:type="dxa" w:w="1944"/>
            <w:vAlign w:val="center"/>
          </w:tcPr>
          <w:p>
            <w:pPr>
              <w:spacing w:before="0" w:after="0" w:line="269" w:lineRule="auto"/>
            </w:pPr>
            <w:r>
              <w:rPr>
                <w:rFonts w:ascii="Arial" w:hAnsi="Arial" w:eastAsia="Noto Sans CJK SC"/>
                <w:b w:val="0"/>
                <w:color w:val="000000"/>
                <w:sz w:val="21"/>
                <w:lang w:val="en-US" w:eastAsia="zh-CN"/>
              </w:rPr>
              <w:t>Research</w:t>
            </w:r>
          </w:p>
        </w:tc>
        <w:tc>
          <w:tcPr>
            <w:tcW w:type="dxa" w:w="7301"/>
            <w:vAlign w:val="center"/>
          </w:tcPr>
          <w:p>
            <w:pPr>
              <w:spacing w:before="0" w:after="0" w:line="269" w:lineRule="auto"/>
            </w:pPr>
            <w:r>
              <w:rPr>
                <w:rFonts w:ascii="Arial" w:hAnsi="Arial" w:eastAsia="Noto Sans CJK SC"/>
                <w:b w:val="0"/>
                <w:color w:val="000000"/>
                <w:sz w:val="21"/>
                <w:lang w:val="en-US" w:eastAsia="zh-CN"/>
              </w:rPr>
              <w:t>Mooncore and biology branches; projects, effects, owned or missing materials, permanent unlock.</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M20</w:t>
            </w:r>
          </w:p>
        </w:tc>
        <w:tc>
          <w:tcPr>
            <w:tcW w:type="dxa" w:w="1944"/>
            <w:vAlign w:val="center"/>
          </w:tcPr>
          <w:p>
            <w:pPr>
              <w:spacing w:before="0" w:after="0" w:line="269" w:lineRule="auto"/>
            </w:pPr>
            <w:r>
              <w:rPr>
                <w:rFonts w:ascii="Arial" w:hAnsi="Arial" w:eastAsia="Noto Sans CJK SC"/>
                <w:b w:val="0"/>
                <w:color w:val="000000"/>
                <w:sz w:val="21"/>
                <w:lang w:val="en-US" w:eastAsia="zh-CN"/>
              </w:rPr>
              <w:t>Module fabrication</w:t>
            </w:r>
          </w:p>
        </w:tc>
        <w:tc>
          <w:tcPr>
            <w:tcW w:type="dxa" w:w="7301"/>
            <w:vAlign w:val="center"/>
          </w:tcPr>
          <w:p>
            <w:pPr>
              <w:spacing w:before="0" w:after="0" w:line="269" w:lineRule="auto"/>
            </w:pPr>
            <w:r>
              <w:rPr>
                <w:rFonts w:ascii="Arial" w:hAnsi="Arial" w:eastAsia="Noto Sans CJK SC"/>
                <w:b w:val="0"/>
                <w:color w:val="000000"/>
                <w:sz w:val="21"/>
                <w:lang w:val="en-US" w:eastAsia="zh-CN"/>
              </w:rPr>
              <w:t>Recipe, cost, output, eligibility, insufficient space, owned and installed counts.</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M21</w:t>
            </w:r>
          </w:p>
        </w:tc>
        <w:tc>
          <w:tcPr>
            <w:tcW w:type="dxa" w:w="1944"/>
            <w:vAlign w:val="center"/>
          </w:tcPr>
          <w:p>
            <w:pPr>
              <w:spacing w:before="0" w:after="0" w:line="269" w:lineRule="auto"/>
            </w:pPr>
            <w:r>
              <w:rPr>
                <w:rFonts w:ascii="Arial" w:hAnsi="Arial" w:eastAsia="Noto Sans CJK SC"/>
                <w:b w:val="0"/>
                <w:color w:val="000000"/>
                <w:sz w:val="21"/>
                <w:lang w:val="en-US" w:eastAsia="zh-CN"/>
              </w:rPr>
              <w:t>Events and progression records</w:t>
            </w:r>
          </w:p>
        </w:tc>
        <w:tc>
          <w:tcPr>
            <w:tcW w:type="dxa" w:w="7301"/>
            <w:vAlign w:val="center"/>
          </w:tcPr>
          <w:p>
            <w:pPr>
              <w:spacing w:before="0" w:after="0" w:line="269" w:lineRule="auto"/>
            </w:pPr>
            <w:r>
              <w:rPr>
                <w:rFonts w:ascii="Arial" w:hAnsi="Arial" w:eastAsia="Noto Sans CJK SC"/>
                <w:b w:val="0"/>
                <w:color w:val="000000"/>
                <w:sz w:val="21"/>
                <w:lang w:val="en-US" w:eastAsia="zh-CN"/>
              </w:rPr>
              <w:t>Event information, tracking, investigation findings and progression; no event, not recovered and saved.</w:t>
            </w:r>
          </w:p>
        </w:tc>
      </w:tr>
    </w:tbl>
    <w:p>
      <w:pPr>
        <w:spacing w:after="20" w:before="0" w:line="96" w:lineRule="auto"/>
      </w:pPr>
      <w:r>
        <w:rPr>
          <w:sz w:val="4"/>
        </w:rPr>
      </w:r>
    </w:p>
    <w:p>
      <w:r>
        <w:rPr>
          <w:rFonts w:ascii="Arial" w:hAnsi="Arial" w:eastAsia="Noto Sans CJK SC"/>
          <w:b w:val="0"/>
          <w:color w:val="000000"/>
          <w:lang w:val="en-US" w:eastAsia="zh-CN"/>
        </w:rPr>
        <w:t>Progression relationship: successfully recovered and saved outputs can support research or trade. Mooncore research permanently unlocks knowledge; fabrication consumes materials and creates a physical module; installation is a separate operation. They are distinct functions, not a free automatic upgrade.</w:t>
      </w:r>
    </w:p>
    <w:p>
      <w:r>
        <w:rPr>
          <w:rFonts w:ascii="Arial" w:hAnsi="Arial" w:eastAsia="Noto Sans CJK SC"/>
          <w:b w:val="0"/>
          <w:color w:val="000000"/>
          <w:lang w:val="en-US" w:eastAsia="zh-CN"/>
        </w:rPr>
        <w:t>Events appear randomly in-session without prior acceptance. Tracking affects display only. Carrying an output is not the same as saving it; first-recovery achievements wait for successful extraction and saving.</w:t>
      </w:r>
    </w:p>
    <w:p>
      <w:pPr>
        <w:pStyle w:val="Heading2"/>
      </w:pPr>
      <w:r>
        <w:rPr>
          <w:rFonts w:ascii="Arial" w:hAnsi="Arial" w:eastAsia="Noto Sans CJK SC"/>
          <w:b w:val="0"/>
          <w:color w:val="000000"/>
          <w:lang w:val="en-US" w:eastAsia="zh-CN"/>
        </w:rPr>
        <w:t>Base support modules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691"/>
        <w:gridCol w:w="1944"/>
        <w:gridCol w:w="7301"/>
      </w:tblGrid>
      <w:tr>
        <w:trPr>
          <w:cantSplit/>
          <w:tblHeader/>
        </w:trPr>
        <w:tc>
          <w:tcPr>
            <w:tcW w:type="dxa" w:w="691"/>
            <w:vAlign w:val="center"/>
            <w:shd w:fill="E7EDF2"/>
          </w:tcPr>
          <w:p>
            <w:pPr>
              <w:spacing w:before="0" w:after="0" w:line="269" w:lineRule="auto"/>
              <w:jc w:val="center"/>
            </w:pPr>
            <w:r>
              <w:rPr>
                <w:rFonts w:ascii="Arial" w:hAnsi="Arial" w:eastAsia="Noto Sans CJK SC"/>
                <w:b/>
                <w:color w:val="000000"/>
                <w:sz w:val="21"/>
                <w:lang w:val="en-US" w:eastAsia="zh-CN"/>
              </w:rPr>
              <w:t>ID</w:t>
            </w:r>
          </w:p>
        </w:tc>
        <w:tc>
          <w:tcPr>
            <w:tcW w:type="dxa" w:w="1944"/>
            <w:vAlign w:val="center"/>
            <w:shd w:fill="E7EDF2"/>
          </w:tcPr>
          <w:p>
            <w:pPr>
              <w:spacing w:before="0" w:after="0" w:line="269" w:lineRule="auto"/>
            </w:pPr>
            <w:r>
              <w:rPr>
                <w:rFonts w:ascii="Arial" w:hAnsi="Arial" w:eastAsia="Noto Sans CJK SC"/>
                <w:b/>
                <w:color w:val="000000"/>
                <w:sz w:val="21"/>
                <w:lang w:val="en-US" w:eastAsia="zh-CN"/>
              </w:rPr>
              <w:t>Module</w:t>
            </w:r>
          </w:p>
        </w:tc>
        <w:tc>
          <w:tcPr>
            <w:tcW w:type="dxa" w:w="7301"/>
            <w:vAlign w:val="center"/>
            <w:shd w:fill="E7EDF2"/>
          </w:tcPr>
          <w:p>
            <w:pPr>
              <w:spacing w:before="0" w:after="0" w:line="269" w:lineRule="auto"/>
            </w:pPr>
            <w:r>
              <w:rPr>
                <w:rFonts w:ascii="Arial" w:hAnsi="Arial" w:eastAsia="Noto Sans CJK SC"/>
                <w:b/>
                <w:color w:val="000000"/>
                <w:sz w:val="21"/>
                <w:lang w:val="en-US" w:eastAsia="zh-CN"/>
              </w:rPr>
              <w:t>Included functions and information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M48</w:t>
            </w:r>
          </w:p>
        </w:tc>
        <w:tc>
          <w:tcPr>
            <w:tcW w:type="dxa" w:w="1944"/>
            <w:vAlign w:val="center"/>
          </w:tcPr>
          <w:p>
            <w:pPr>
              <w:spacing w:before="0" w:after="0" w:line="269" w:lineRule="auto"/>
            </w:pPr>
            <w:r>
              <w:rPr>
                <w:rFonts w:ascii="Arial" w:hAnsi="Arial" w:eastAsia="Noto Sans CJK SC"/>
                <w:b w:val="0"/>
                <w:color w:val="000000"/>
                <w:sz w:val="21"/>
                <w:lang w:val="en-US" w:eastAsia="zh-CN"/>
              </w:rPr>
              <w:t>Base</w:t>
            </w:r>
          </w:p>
        </w:tc>
        <w:tc>
          <w:tcPr>
            <w:tcW w:type="dxa" w:w="7301"/>
            <w:vAlign w:val="center"/>
          </w:tcPr>
          <w:p>
            <w:pPr>
              <w:spacing w:before="0" w:after="0" w:line="269" w:lineRule="auto"/>
            </w:pPr>
            <w:r>
              <w:rPr>
                <w:rFonts w:ascii="Arial" w:hAnsi="Arial" w:eastAsia="Noto Sans CJK SC"/>
                <w:b w:val="0"/>
                <w:color w:val="000000"/>
                <w:sz w:val="21"/>
                <w:lang w:val="en-US" w:eastAsia="zh-CN"/>
              </w:rPr>
              <w:t>Existing resources and stash access; construction, workshop, medical bay and reactor upgrades are unavailable.</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M49</w:t>
            </w:r>
          </w:p>
        </w:tc>
        <w:tc>
          <w:tcPr>
            <w:tcW w:type="dxa" w:w="1944"/>
            <w:vAlign w:val="center"/>
          </w:tcPr>
          <w:p>
            <w:pPr>
              <w:spacing w:before="0" w:after="0" w:line="269" w:lineRule="auto"/>
            </w:pPr>
            <w:r>
              <w:rPr>
                <w:rFonts w:ascii="Arial" w:hAnsi="Arial" w:eastAsia="Noto Sans CJK SC"/>
                <w:b w:val="0"/>
                <w:color w:val="000000"/>
                <w:sz w:val="21"/>
                <w:lang w:val="en-US" w:eastAsia="zh-CN"/>
              </w:rPr>
              <w:t>Communications</w:t>
            </w:r>
          </w:p>
        </w:tc>
        <w:tc>
          <w:tcPr>
            <w:tcW w:type="dxa" w:w="7301"/>
            <w:vAlign w:val="center"/>
          </w:tcPr>
          <w:p>
            <w:pPr>
              <w:spacing w:before="0" w:after="0" w:line="269" w:lineRule="auto"/>
            </w:pPr>
            <w:r>
              <w:rPr>
                <w:rFonts w:ascii="Arial" w:hAnsi="Arial" w:eastAsia="Noto Sans CJK SC"/>
                <w:b w:val="0"/>
                <w:color w:val="000000"/>
                <w:sz w:val="21"/>
                <w:lang w:val="en-US" w:eastAsia="zh-CN"/>
              </w:rPr>
              <w:t>Contacts, channels and empty messages; no active chat or mail service.</w:t>
            </w:r>
          </w:p>
        </w:tc>
      </w:tr>
    </w:tbl>
    <w:p>
      <w:pPr>
        <w:spacing w:after="20" w:before="0" w:line="96" w:lineRule="auto"/>
      </w:pPr>
      <w:r>
        <w:rPr>
          <w:sz w:val="4"/>
        </w:rPr>
      </w:r>
    </w:p>
    <w:p>
      <w:r>
        <w:rPr>
          <w:rFonts w:ascii="Arial" w:hAnsi="Arial" w:eastAsia="Noto Sans CJK SC"/>
          <w:b w:val="0"/>
          <w:color w:val="000000"/>
          <w:lang w:val="en-US" w:eastAsia="zh-CN"/>
        </w:rPr>
        <w:t>Unavailable modules still need a place in the overall hierarchy. They may use secondary access, but must not imply active construction, chat, mail or insurance purchases.</w:t>
      </w:r>
    </w:p>
    <w:p>
      <w:r>
        <w:br w:type="page"/>
      </w:r>
    </w:p>
    <w:p>
      <w:pPr>
        <w:pStyle w:val="Heading1"/>
      </w:pPr>
      <w:r>
        <w:rPr>
          <w:rFonts w:ascii="Arial" w:hAnsi="Arial" w:eastAsia="Noto Sans CJK SC"/>
          <w:b w:val="0"/>
          <w:color w:val="000000"/>
          <w:lang w:val="en-US" w:eastAsia="zh-CN"/>
        </w:rPr>
        <w:t>Shared in-session modules</w:t>
      </w:r>
    </w:p>
    <w:p>
      <w:r>
        <w:rPr>
          <w:rFonts w:ascii="Arial" w:hAnsi="Arial" w:eastAsia="Noto Sans CJK SC"/>
          <w:b w:val="0"/>
          <w:color w:val="000000"/>
          <w:lang w:val="en-US" w:eastAsia="zh-CN"/>
        </w:rPr>
        <w:t>These functions are shared by expedition and applicable bounty flows. Modes may expose different information without inventing separate rules for the same function.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691"/>
        <w:gridCol w:w="1944"/>
        <w:gridCol w:w="7301"/>
      </w:tblGrid>
      <w:tr>
        <w:trPr>
          <w:cantSplit/>
          <w:tblHeader/>
        </w:trPr>
        <w:tc>
          <w:tcPr>
            <w:tcW w:type="dxa" w:w="691"/>
            <w:vAlign w:val="center"/>
            <w:shd w:fill="E7EDF2"/>
          </w:tcPr>
          <w:p>
            <w:pPr>
              <w:spacing w:before="0" w:after="0" w:line="269" w:lineRule="auto"/>
              <w:jc w:val="center"/>
            </w:pPr>
            <w:r>
              <w:rPr>
                <w:rFonts w:ascii="Arial" w:hAnsi="Arial" w:eastAsia="Noto Sans CJK SC"/>
                <w:b/>
                <w:color w:val="000000"/>
                <w:sz w:val="21"/>
                <w:lang w:val="en-US" w:eastAsia="zh-CN"/>
              </w:rPr>
              <w:t>ID</w:t>
            </w:r>
          </w:p>
        </w:tc>
        <w:tc>
          <w:tcPr>
            <w:tcW w:type="dxa" w:w="1944"/>
            <w:vAlign w:val="center"/>
            <w:shd w:fill="E7EDF2"/>
          </w:tcPr>
          <w:p>
            <w:pPr>
              <w:spacing w:before="0" w:after="0" w:line="269" w:lineRule="auto"/>
            </w:pPr>
            <w:r>
              <w:rPr>
                <w:rFonts w:ascii="Arial" w:hAnsi="Arial" w:eastAsia="Noto Sans CJK SC"/>
                <w:b/>
                <w:color w:val="000000"/>
                <w:sz w:val="21"/>
                <w:lang w:val="en-US" w:eastAsia="zh-CN"/>
              </w:rPr>
              <w:t>Module</w:t>
            </w:r>
          </w:p>
        </w:tc>
        <w:tc>
          <w:tcPr>
            <w:tcW w:type="dxa" w:w="7301"/>
            <w:vAlign w:val="center"/>
            <w:shd w:fill="E7EDF2"/>
          </w:tcPr>
          <w:p>
            <w:pPr>
              <w:spacing w:before="0" w:after="0" w:line="269" w:lineRule="auto"/>
            </w:pPr>
            <w:r>
              <w:rPr>
                <w:rFonts w:ascii="Arial" w:hAnsi="Arial" w:eastAsia="Noto Sans CJK SC"/>
                <w:b/>
                <w:color w:val="000000"/>
                <w:sz w:val="21"/>
                <w:lang w:val="en-US" w:eastAsia="zh-CN"/>
              </w:rPr>
              <w:t>Included functions and information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M10</w:t>
            </w:r>
          </w:p>
        </w:tc>
        <w:tc>
          <w:tcPr>
            <w:tcW w:type="dxa" w:w="1944"/>
            <w:vAlign w:val="center"/>
          </w:tcPr>
          <w:p>
            <w:pPr>
              <w:spacing w:before="0" w:after="0" w:line="269" w:lineRule="auto"/>
            </w:pPr>
            <w:r>
              <w:rPr>
                <w:rFonts w:ascii="Arial" w:hAnsi="Arial" w:eastAsia="Noto Sans CJK SC"/>
                <w:b w:val="0"/>
                <w:color w:val="000000"/>
                <w:sz w:val="21"/>
                <w:lang w:val="en-US" w:eastAsia="zh-CN"/>
              </w:rPr>
              <w:t>Loot and corpses</w:t>
            </w:r>
          </w:p>
        </w:tc>
        <w:tc>
          <w:tcPr>
            <w:tcW w:type="dxa" w:w="7301"/>
            <w:vAlign w:val="center"/>
          </w:tcPr>
          <w:p>
            <w:pPr>
              <w:spacing w:before="0" w:after="0" w:line="269" w:lineRule="auto"/>
            </w:pPr>
            <w:r>
              <w:rPr>
                <w:rFonts w:ascii="Arial" w:hAnsi="Arial" w:eastAsia="Noto Sans CJK SC"/>
                <w:b w:val="0"/>
                <w:color w:val="000000"/>
                <w:sz w:val="21"/>
                <w:lang w:val="en-US" w:eastAsia="zh-CN"/>
              </w:rPr>
              <w:t>Crates, corpses, dropped bags and event outputs; search, empty content, other characters' gear, containers and items taken by others.</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M27</w:t>
            </w:r>
          </w:p>
        </w:tc>
        <w:tc>
          <w:tcPr>
            <w:tcW w:type="dxa" w:w="1944"/>
            <w:vAlign w:val="center"/>
          </w:tcPr>
          <w:p>
            <w:pPr>
              <w:spacing w:before="0" w:after="0" w:line="269" w:lineRule="auto"/>
            </w:pPr>
            <w:r>
              <w:rPr>
                <w:rFonts w:ascii="Arial" w:hAnsi="Arial" w:eastAsia="Noto Sans CJK SC"/>
                <w:b w:val="0"/>
                <w:color w:val="000000"/>
                <w:sz w:val="21"/>
                <w:lang w:val="en-US" w:eastAsia="zh-CN"/>
              </w:rPr>
              <w:t>Core combat HUD</w:t>
            </w:r>
          </w:p>
        </w:tc>
        <w:tc>
          <w:tcPr>
            <w:tcW w:type="dxa" w:w="7301"/>
            <w:vAlign w:val="center"/>
          </w:tcPr>
          <w:p>
            <w:pPr>
              <w:spacing w:before="0" w:after="0" w:line="269" w:lineRule="auto"/>
            </w:pPr>
            <w:r>
              <w:rPr>
                <w:rFonts w:ascii="Arial" w:hAnsi="Arial" w:eastAsia="Noto Sans CJK SC"/>
                <w:b w:val="0"/>
                <w:color w:val="000000"/>
                <w:sz w:val="21"/>
                <w:lang w:val="en-US" w:eastAsia="zh-CN"/>
              </w:rPr>
              <w:t>Health, ammunition or charge, current weapon, time and essential combat information.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M28</w:t>
            </w:r>
          </w:p>
        </w:tc>
        <w:tc>
          <w:tcPr>
            <w:tcW w:type="dxa" w:w="1944"/>
            <w:vAlign w:val="center"/>
          </w:tcPr>
          <w:p>
            <w:pPr>
              <w:spacing w:before="0" w:after="0" w:line="269" w:lineRule="auto"/>
            </w:pPr>
            <w:r>
              <w:rPr>
                <w:rFonts w:ascii="Arial" w:hAnsi="Arial" w:eastAsia="Noto Sans CJK SC"/>
                <w:b w:val="0"/>
                <w:color w:val="000000"/>
                <w:sz w:val="21"/>
                <w:lang w:val="en-US" w:eastAsia="zh-CN"/>
              </w:rPr>
              <w:t>Seven-part health</w:t>
            </w:r>
          </w:p>
        </w:tc>
        <w:tc>
          <w:tcPr>
            <w:tcW w:type="dxa" w:w="7301"/>
            <w:vAlign w:val="center"/>
          </w:tcPr>
          <w:p>
            <w:pPr>
              <w:spacing w:before="0" w:after="0" w:line="269" w:lineRule="auto"/>
            </w:pPr>
            <w:r>
              <w:rPr>
                <w:rFonts w:ascii="Arial" w:hAnsi="Arial" w:eastAsia="Noto Sans CJK SC"/>
                <w:b w:val="0"/>
                <w:color w:val="000000"/>
                <w:sz w:val="21"/>
                <w:lang w:val="en-US" w:eastAsia="zh-CN"/>
              </w:rPr>
              <w:t>Head, thorax, abdomen, both arms and both legs; injury, selected part, supplies and treatment.</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M29</w:t>
            </w:r>
          </w:p>
        </w:tc>
        <w:tc>
          <w:tcPr>
            <w:tcW w:type="dxa" w:w="1944"/>
            <w:vAlign w:val="center"/>
          </w:tcPr>
          <w:p>
            <w:pPr>
              <w:spacing w:before="0" w:after="0" w:line="269" w:lineRule="auto"/>
            </w:pPr>
            <w:r>
              <w:rPr>
                <w:rFonts w:ascii="Arial" w:hAnsi="Arial" w:eastAsia="Noto Sans CJK SC"/>
                <w:b w:val="0"/>
                <w:color w:val="000000"/>
                <w:sz w:val="21"/>
                <w:lang w:val="en-US" w:eastAsia="zh-CN"/>
              </w:rPr>
              <w:t>Survival and shield</w:t>
            </w:r>
          </w:p>
        </w:tc>
        <w:tc>
          <w:tcPr>
            <w:tcW w:type="dxa" w:w="7301"/>
            <w:vAlign w:val="center"/>
          </w:tcPr>
          <w:p>
            <w:pPr>
              <w:spacing w:before="0" w:after="0" w:line="269" w:lineRule="auto"/>
            </w:pPr>
            <w:r>
              <w:rPr>
                <w:rFonts w:ascii="Arial" w:hAnsi="Arial" w:eastAsia="Noto Sans CJK SC"/>
                <w:b w:val="0"/>
                <w:color w:val="000000"/>
                <w:sz w:val="21"/>
                <w:lang w:val="en-US" w:eastAsia="zh-CN"/>
              </w:rPr>
              <w:t>Oxygen and remaining time, nutritional energy, hydration, stomach fullness; shield charge, energy, regeneration, break and conditions.</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M30</w:t>
            </w:r>
          </w:p>
        </w:tc>
        <w:tc>
          <w:tcPr>
            <w:tcW w:type="dxa" w:w="1944"/>
            <w:vAlign w:val="center"/>
          </w:tcPr>
          <w:p>
            <w:pPr>
              <w:spacing w:before="0" w:after="0" w:line="269" w:lineRule="auto"/>
            </w:pPr>
            <w:r>
              <w:rPr>
                <w:rFonts w:ascii="Arial" w:hAnsi="Arial" w:eastAsia="Noto Sans CJK SC"/>
                <w:b w:val="0"/>
                <w:color w:val="000000"/>
                <w:sz w:val="21"/>
                <w:lang w:val="en-US" w:eastAsia="zh-CN"/>
              </w:rPr>
              <w:t>Quick slots and timed actions</w:t>
            </w:r>
          </w:p>
        </w:tc>
        <w:tc>
          <w:tcPr>
            <w:tcW w:type="dxa" w:w="7301"/>
            <w:vAlign w:val="center"/>
          </w:tcPr>
          <w:p>
            <w:pPr>
              <w:spacing w:before="0" w:after="0" w:line="269" w:lineRule="auto"/>
            </w:pPr>
            <w:r>
              <w:rPr>
                <w:rFonts w:ascii="Arial" w:hAnsi="Arial" w:eastAsia="Noto Sans CJK SC"/>
                <w:b w:val="0"/>
                <w:color w:val="000000"/>
                <w:sz w:val="21"/>
                <w:lang w:val="en-US" w:eastAsia="zh-CN"/>
              </w:rPr>
              <w:t>Bind 1–9, select, use with primary click; availability, count, progress, cancel, interruption and acknowledgement.</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M31</w:t>
            </w:r>
          </w:p>
        </w:tc>
        <w:tc>
          <w:tcPr>
            <w:tcW w:type="dxa" w:w="1944"/>
            <w:vAlign w:val="center"/>
          </w:tcPr>
          <w:p>
            <w:pPr>
              <w:spacing w:before="0" w:after="0" w:line="269" w:lineRule="auto"/>
            </w:pPr>
            <w:r>
              <w:rPr>
                <w:rFonts w:ascii="Arial" w:hAnsi="Arial" w:eastAsia="Noto Sans CJK SC"/>
                <w:b w:val="0"/>
                <w:color w:val="000000"/>
                <w:sz w:val="21"/>
                <w:lang w:val="en-US" w:eastAsia="zh-CN"/>
              </w:rPr>
              <w:t>World interactions</w:t>
            </w:r>
          </w:p>
        </w:tc>
        <w:tc>
          <w:tcPr>
            <w:tcW w:type="dxa" w:w="7301"/>
            <w:vAlign w:val="center"/>
          </w:tcPr>
          <w:p>
            <w:pPr>
              <w:spacing w:before="0" w:after="0" w:line="269" w:lineRule="auto"/>
            </w:pPr>
            <w:r>
              <w:rPr>
                <w:rFonts w:ascii="Arial" w:hAnsi="Arial" w:eastAsia="Noto Sans CJK SC"/>
                <w:b w:val="0"/>
                <w:color w:val="000000"/>
                <w:sz w:val="21"/>
                <w:lang w:val="en-US" w:eastAsia="zh-CN"/>
              </w:rPr>
              <w:t>Pickup, search, airlocks, switches and devices; target, key, progress and rejection reason.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M32</w:t>
            </w:r>
          </w:p>
        </w:tc>
        <w:tc>
          <w:tcPr>
            <w:tcW w:type="dxa" w:w="1944"/>
            <w:vAlign w:val="center"/>
          </w:tcPr>
          <w:p>
            <w:pPr>
              <w:spacing w:before="0" w:after="0" w:line="269" w:lineRule="auto"/>
            </w:pPr>
            <w:r>
              <w:rPr>
                <w:rFonts w:ascii="Arial" w:hAnsi="Arial" w:eastAsia="Noto Sans CJK SC"/>
                <w:b w:val="0"/>
                <w:color w:val="000000"/>
                <w:sz w:val="21"/>
                <w:lang w:val="en-US" w:eastAsia="zh-CN"/>
              </w:rPr>
              <w:t>Halo lighting</w:t>
            </w:r>
          </w:p>
        </w:tc>
        <w:tc>
          <w:tcPr>
            <w:tcW w:type="dxa" w:w="7301"/>
            <w:vAlign w:val="center"/>
          </w:tcPr>
          <w:p>
            <w:pPr>
              <w:spacing w:before="0" w:after="0" w:line="269" w:lineRule="auto"/>
            </w:pPr>
            <w:r>
              <w:rPr>
                <w:rFonts w:ascii="Arial" w:hAnsi="Arial" w:eastAsia="Noto Sans CJK SC"/>
                <w:b w:val="0"/>
                <w:color w:val="000000"/>
                <w:sz w:val="21"/>
                <w:lang w:val="en-US" w:eastAsia="zh-CN"/>
              </w:rPr>
              <w:t>Lighting toggle and parameter adjustment; separate from physical weapon modification.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M33</w:t>
            </w:r>
          </w:p>
        </w:tc>
        <w:tc>
          <w:tcPr>
            <w:tcW w:type="dxa" w:w="1944"/>
            <w:vAlign w:val="center"/>
          </w:tcPr>
          <w:p>
            <w:pPr>
              <w:spacing w:before="0" w:after="0" w:line="269" w:lineRule="auto"/>
            </w:pPr>
            <w:r>
              <w:rPr>
                <w:rFonts w:ascii="Arial" w:hAnsi="Arial" w:eastAsia="Noto Sans CJK SC"/>
                <w:b w:val="0"/>
                <w:color w:val="000000"/>
                <w:sz w:val="21"/>
                <w:lang w:val="en-US" w:eastAsia="zh-CN"/>
              </w:rPr>
              <w:t>Tactical map on M</w:t>
            </w:r>
          </w:p>
        </w:tc>
        <w:tc>
          <w:tcPr>
            <w:tcW w:type="dxa" w:w="7301"/>
            <w:vAlign w:val="center"/>
          </w:tcPr>
          <w:p>
            <w:pPr>
              <w:spacing w:before="0" w:after="0" w:line="269" w:lineRule="auto"/>
            </w:pPr>
            <w:r>
              <w:rPr>
                <w:rFonts w:ascii="Arial" w:hAnsi="Arial" w:eastAsia="Noto Sans CJK SC"/>
                <w:b w:val="0"/>
                <w:color w:val="000000"/>
                <w:sz w:val="21"/>
                <w:lang w:val="en-US" w:eastAsia="zh-CN"/>
              </w:rPr>
              <w:t>Actual satellite map, position and heading, waypoint, exits, names, supply layer, details, zoom and pan.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M34</w:t>
            </w:r>
          </w:p>
        </w:tc>
        <w:tc>
          <w:tcPr>
            <w:tcW w:type="dxa" w:w="1944"/>
            <w:vAlign w:val="center"/>
          </w:tcPr>
          <w:p>
            <w:pPr>
              <w:spacing w:before="0" w:after="0" w:line="269" w:lineRule="auto"/>
            </w:pPr>
            <w:r>
              <w:rPr>
                <w:rFonts w:ascii="Arial" w:hAnsi="Arial" w:eastAsia="Noto Sans CJK SC"/>
                <w:b w:val="0"/>
                <w:color w:val="000000"/>
                <w:sz w:val="21"/>
                <w:lang w:val="en-US" w:eastAsia="zh-CN"/>
              </w:rPr>
              <w:t>Events and J details</w:t>
            </w:r>
          </w:p>
        </w:tc>
        <w:tc>
          <w:tcPr>
            <w:tcW w:type="dxa" w:w="7301"/>
            <w:vAlign w:val="center"/>
          </w:tcPr>
          <w:p>
            <w:pPr>
              <w:spacing w:before="0" w:after="0" w:line="269" w:lineRule="auto"/>
            </w:pPr>
            <w:r>
              <w:rPr>
                <w:rFonts w:ascii="Arial" w:hAnsi="Arial" w:eastAsia="Noto Sans CJK SC"/>
                <w:b w:val="0"/>
                <w:color w:val="000000"/>
                <w:sz w:val="21"/>
                <w:lang w:val="en-US" w:eastAsia="zh-CN"/>
              </w:rPr>
              <w:t>Tracking, steps, area or floor, distance, device nodes, prerequisites, contested use, outputs and progress.</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M35</w:t>
            </w:r>
          </w:p>
        </w:tc>
        <w:tc>
          <w:tcPr>
            <w:tcW w:type="dxa" w:w="1944"/>
            <w:vAlign w:val="center"/>
          </w:tcPr>
          <w:p>
            <w:pPr>
              <w:spacing w:before="0" w:after="0" w:line="269" w:lineRule="auto"/>
            </w:pPr>
            <w:r>
              <w:rPr>
                <w:rFonts w:ascii="Arial" w:hAnsi="Arial" w:eastAsia="Noto Sans CJK SC"/>
                <w:b w:val="0"/>
                <w:color w:val="000000"/>
                <w:sz w:val="21"/>
                <w:lang w:val="en-US" w:eastAsia="zh-CN"/>
              </w:rPr>
              <w:t>Extraction</w:t>
            </w:r>
          </w:p>
        </w:tc>
        <w:tc>
          <w:tcPr>
            <w:tcW w:type="dxa" w:w="7301"/>
            <w:vAlign w:val="center"/>
          </w:tcPr>
          <w:p>
            <w:pPr>
              <w:spacing w:before="0" w:after="0" w:line="269" w:lineRule="auto"/>
            </w:pPr>
            <w:r>
              <w:rPr>
                <w:rFonts w:ascii="Arial" w:hAnsi="Arial" w:eastAsia="Noto Sans CJK SC"/>
                <w:b w:val="0"/>
                <w:color w:val="000000"/>
                <w:sz w:val="21"/>
                <w:lang w:val="en-US" w:eastAsia="zh-CN"/>
              </w:rPr>
              <w:t>Eligibility, zone, countdown, blocked, leaving and interrupted states under the active mode's rules.</w:t>
            </w:r>
          </w:p>
        </w:tc>
      </w:tr>
    </w:tbl>
    <w:p>
      <w:pPr>
        <w:spacing w:after="20" w:before="0" w:line="96" w:lineRule="auto"/>
      </w:pPr>
      <w:r>
        <w:rPr>
          <w:sz w:val="4"/>
        </w:rPr>
      </w:r>
    </w:p>
    <w:p>
      <w:r>
        <w:rPr>
          <w:rFonts w:ascii="Arial" w:hAnsi="Arial" w:eastAsia="Noto Sans CJK SC"/>
          <w:b w:val="0"/>
          <w:color w:val="000000"/>
          <w:lang w:val="en-US" w:eastAsia="zh-CN"/>
        </w:rPr>
        <w:t>Related hierarchy: carried inventory reuses M07–M13. Special-tool readings belong to M13. The map belongs to M33; the retired persistent minimap is not another new module. Event detail belongs to M34, while recovered progression belongs to M21.</w:t>
      </w:r>
    </w:p>
    <w:p>
      <w:r>
        <w:rPr>
          <w:rFonts w:ascii="Arial" w:hAnsi="Arial" w:eastAsia="Noto Sans CJK SC"/>
          <w:b w:val="0"/>
          <w:color w:val="000000"/>
          <w:lang w:val="en-US" w:eastAsia="zh-CN"/>
        </w:rPr>
        <w:t>Key relationships: number keys select; primary click uses. A finished progress timer is not confirmed server success. The map provides no exact enemy radar; enemy bounty information is limited to authorized coarse regions.</w:t>
      </w:r>
    </w:p>
    <w:p>
      <w:r>
        <w:br w:type="page"/>
      </w:r>
    </w:p>
    <w:p>
      <w:pPr>
        <w:pStyle w:val="Heading1"/>
      </w:pPr>
      <w:r>
        <w:rPr>
          <w:rFonts w:ascii="Arial" w:hAnsi="Arial" w:eastAsia="Noto Sans CJK SC"/>
          <w:b w:val="0"/>
          <w:color w:val="000000"/>
          <w:lang w:val="en-US" w:eastAsia="zh-CN"/>
        </w:rPr>
        <w:t>Bounty-specific modules and settlement</w:t>
      </w:r>
    </w:p>
    <w:p>
      <w:pPr>
        <w:pStyle w:val="Heading2"/>
      </w:pPr>
      <w:r>
        <w:rPr>
          <w:rFonts w:ascii="Arial" w:hAnsi="Arial" w:eastAsia="Noto Sans CJK SC"/>
          <w:b w:val="0"/>
          <w:color w:val="000000"/>
          <w:lang w:val="en-US" w:eastAsia="zh-CN"/>
        </w:rPr>
        <w:t>Bounty-specific modules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691"/>
        <w:gridCol w:w="1944"/>
        <w:gridCol w:w="7301"/>
      </w:tblGrid>
      <w:tr>
        <w:trPr>
          <w:cantSplit/>
          <w:tblHeader/>
        </w:trPr>
        <w:tc>
          <w:tcPr>
            <w:tcW w:type="dxa" w:w="691"/>
            <w:vAlign w:val="center"/>
            <w:shd w:fill="E7EDF2"/>
          </w:tcPr>
          <w:p>
            <w:pPr>
              <w:spacing w:before="0" w:after="0" w:line="269" w:lineRule="auto"/>
              <w:jc w:val="center"/>
            </w:pPr>
            <w:r>
              <w:rPr>
                <w:rFonts w:ascii="Arial" w:hAnsi="Arial" w:eastAsia="Noto Sans CJK SC"/>
                <w:b/>
                <w:color w:val="000000"/>
                <w:sz w:val="21"/>
                <w:lang w:val="en-US" w:eastAsia="zh-CN"/>
              </w:rPr>
              <w:t>ID</w:t>
            </w:r>
          </w:p>
        </w:tc>
        <w:tc>
          <w:tcPr>
            <w:tcW w:type="dxa" w:w="1944"/>
            <w:vAlign w:val="center"/>
            <w:shd w:fill="E7EDF2"/>
          </w:tcPr>
          <w:p>
            <w:pPr>
              <w:spacing w:before="0" w:after="0" w:line="269" w:lineRule="auto"/>
            </w:pPr>
            <w:r>
              <w:rPr>
                <w:rFonts w:ascii="Arial" w:hAnsi="Arial" w:eastAsia="Noto Sans CJK SC"/>
                <w:b/>
                <w:color w:val="000000"/>
                <w:sz w:val="21"/>
                <w:lang w:val="en-US" w:eastAsia="zh-CN"/>
              </w:rPr>
              <w:t>Module</w:t>
            </w:r>
          </w:p>
        </w:tc>
        <w:tc>
          <w:tcPr>
            <w:tcW w:type="dxa" w:w="7301"/>
            <w:vAlign w:val="center"/>
            <w:shd w:fill="E7EDF2"/>
          </w:tcPr>
          <w:p>
            <w:pPr>
              <w:spacing w:before="0" w:after="0" w:line="269" w:lineRule="auto"/>
            </w:pPr>
            <w:r>
              <w:rPr>
                <w:rFonts w:ascii="Arial" w:hAnsi="Arial" w:eastAsia="Noto Sans CJK SC"/>
                <w:b/>
                <w:color w:val="000000"/>
                <w:sz w:val="21"/>
                <w:lang w:val="en-US" w:eastAsia="zh-CN"/>
              </w:rPr>
              <w:t>Included functions and information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M40</w:t>
            </w:r>
          </w:p>
        </w:tc>
        <w:tc>
          <w:tcPr>
            <w:tcW w:type="dxa" w:w="1944"/>
            <w:vAlign w:val="center"/>
          </w:tcPr>
          <w:p>
            <w:pPr>
              <w:spacing w:before="0" w:after="0" w:line="269" w:lineRule="auto"/>
            </w:pPr>
            <w:r>
              <w:rPr>
                <w:rFonts w:ascii="Arial" w:hAnsi="Arial" w:eastAsia="Noto Sans CJK SC"/>
                <w:b w:val="0"/>
                <w:color w:val="000000"/>
                <w:sz w:val="21"/>
                <w:lang w:val="en-US" w:eastAsia="zh-CN"/>
              </w:rPr>
              <w:t>Mode and staging</w:t>
            </w:r>
          </w:p>
        </w:tc>
        <w:tc>
          <w:tcPr>
            <w:tcW w:type="dxa" w:w="7301"/>
            <w:vAlign w:val="center"/>
          </w:tcPr>
          <w:p>
            <w:pPr>
              <w:spacing w:before="0" w:after="0" w:line="269" w:lineRule="auto"/>
            </w:pPr>
            <w:r>
              <w:rPr>
                <w:rFonts w:ascii="Arial" w:hAnsi="Arial" w:eastAsia="Noto Sans CJK SC"/>
                <w:b w:val="0"/>
                <w:color w:val="000000"/>
                <w:sz w:val="21"/>
                <w:lang w:val="en-US" w:eastAsia="zh-CN"/>
              </w:rPr>
              <w:t>Solo or online entry, staging, team and readiness. Solo needs no invite code or leave-squad action.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M41</w:t>
            </w:r>
          </w:p>
        </w:tc>
        <w:tc>
          <w:tcPr>
            <w:tcW w:type="dxa" w:w="1944"/>
            <w:vAlign w:val="center"/>
          </w:tcPr>
          <w:p>
            <w:pPr>
              <w:spacing w:before="0" w:after="0" w:line="269" w:lineRule="auto"/>
            </w:pPr>
            <w:r>
              <w:rPr>
                <w:rFonts w:ascii="Arial" w:hAnsi="Arial" w:eastAsia="Noto Sans CJK SC"/>
                <w:b w:val="0"/>
                <w:color w:val="000000"/>
                <w:sz w:val="21"/>
                <w:lang w:val="en-US" w:eastAsia="zh-CN"/>
              </w:rPr>
              <w:t>Bounty session</w:t>
            </w:r>
          </w:p>
        </w:tc>
        <w:tc>
          <w:tcPr>
            <w:tcW w:type="dxa" w:w="7301"/>
            <w:vAlign w:val="center"/>
          </w:tcPr>
          <w:p>
            <w:pPr>
              <w:spacing w:before="0" w:after="0" w:line="269" w:lineRule="auto"/>
            </w:pPr>
            <w:r>
              <w:rPr>
                <w:rFonts w:ascii="Arial" w:hAnsi="Arial" w:eastAsia="Noto Sans CJK SC"/>
                <w:b w:val="0"/>
                <w:color w:val="000000"/>
                <w:sz w:val="21"/>
                <w:lang w:val="en-US" w:eastAsia="zh-CN"/>
              </w:rPr>
              <w:t>Phases, target, banishment, dropped or carried bounty ownership, exits and boundaries.</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M42</w:t>
            </w:r>
          </w:p>
        </w:tc>
        <w:tc>
          <w:tcPr>
            <w:tcW w:type="dxa" w:w="1944"/>
            <w:vAlign w:val="center"/>
          </w:tcPr>
          <w:p>
            <w:pPr>
              <w:spacing w:before="0" w:after="0" w:line="269" w:lineRule="auto"/>
            </w:pPr>
            <w:r>
              <w:rPr>
                <w:rFonts w:ascii="Arial" w:hAnsi="Arial" w:eastAsia="Noto Sans CJK SC"/>
                <w:b w:val="0"/>
                <w:color w:val="000000"/>
                <w:sz w:val="21"/>
                <w:lang w:val="en-US" w:eastAsia="zh-CN"/>
              </w:rPr>
              <w:t>Dark sight</w:t>
            </w:r>
          </w:p>
        </w:tc>
        <w:tc>
          <w:tcPr>
            <w:tcW w:type="dxa" w:w="7301"/>
            <w:vAlign w:val="center"/>
          </w:tcPr>
          <w:p>
            <w:pPr>
              <w:spacing w:before="0" w:after="0" w:line="269" w:lineRule="auto"/>
            </w:pPr>
            <w:r>
              <w:rPr>
                <w:rFonts w:ascii="Arial" w:hAnsi="Arial" w:eastAsia="Noto Sans CJK SC"/>
                <w:b w:val="0"/>
                <w:color w:val="000000"/>
                <w:sz w:val="21"/>
                <w:lang w:val="en-US" w:eastAsia="zh-CN"/>
              </w:rPr>
              <w:t>Budget, active, exhausted and authorized vague presence; no exact enemy outline.</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M43</w:t>
            </w:r>
          </w:p>
        </w:tc>
        <w:tc>
          <w:tcPr>
            <w:tcW w:type="dxa" w:w="1944"/>
            <w:vAlign w:val="center"/>
          </w:tcPr>
          <w:p>
            <w:pPr>
              <w:spacing w:before="0" w:after="0" w:line="269" w:lineRule="auto"/>
            </w:pPr>
            <w:r>
              <w:rPr>
                <w:rFonts w:ascii="Arial" w:hAnsi="Arial" w:eastAsia="Noto Sans CJK SC"/>
                <w:b w:val="0"/>
                <w:color w:val="000000"/>
                <w:sz w:val="21"/>
                <w:lang w:val="en-US" w:eastAsia="zh-CN"/>
              </w:rPr>
              <w:t>Squad and rescue</w:t>
            </w:r>
          </w:p>
        </w:tc>
        <w:tc>
          <w:tcPr>
            <w:tcW w:type="dxa" w:w="7301"/>
            <w:vAlign w:val="center"/>
          </w:tcPr>
          <w:p>
            <w:pPr>
              <w:spacing w:before="0" w:after="0" w:line="269" w:lineRule="auto"/>
            </w:pPr>
            <w:r>
              <w:rPr>
                <w:rFonts w:ascii="Arial" w:hAnsi="Arial" w:eastAsia="Noto Sans CJK SC"/>
                <w:b w:val="0"/>
                <w:color w:val="000000"/>
                <w:sz w:val="21"/>
                <w:lang w:val="en-US" w:eastAsia="zh-CN"/>
              </w:rPr>
              <w:t>Teammate status, downed, revive progress, cancel, blocked and local player state.</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M44</w:t>
            </w:r>
          </w:p>
        </w:tc>
        <w:tc>
          <w:tcPr>
            <w:tcW w:type="dxa" w:w="1944"/>
            <w:vAlign w:val="center"/>
          </w:tcPr>
          <w:p>
            <w:pPr>
              <w:spacing w:before="0" w:after="0" w:line="269" w:lineRule="auto"/>
            </w:pPr>
            <w:r>
              <w:rPr>
                <w:rFonts w:ascii="Arial" w:hAnsi="Arial" w:eastAsia="Noto Sans CJK SC"/>
                <w:b w:val="0"/>
                <w:color w:val="000000"/>
                <w:sz w:val="21"/>
                <w:lang w:val="en-US" w:eastAsia="zh-CN"/>
              </w:rPr>
              <w:t>Bounty settlement and next round</w:t>
            </w:r>
          </w:p>
        </w:tc>
        <w:tc>
          <w:tcPr>
            <w:tcW w:type="dxa" w:w="7301"/>
            <w:vAlign w:val="center"/>
          </w:tcPr>
          <w:p>
            <w:pPr>
              <w:spacing w:before="0" w:after="0" w:line="269" w:lineRule="auto"/>
            </w:pPr>
            <w:r>
              <w:rPr>
                <w:rFonts w:ascii="Arial" w:hAnsi="Arial" w:eastAsia="Noto Sans CJK SC"/>
                <w:b w:val="0"/>
                <w:color w:val="000000"/>
                <w:sz w:val="21"/>
                <w:lang w:val="en-US" w:eastAsia="zh-CN"/>
              </w:rPr>
              <w:t>Mode outcome, saving, return to staging and next-round eligibility; reuses settlement below.</w:t>
            </w:r>
          </w:p>
        </w:tc>
      </w:tr>
    </w:tbl>
    <w:p>
      <w:pPr>
        <w:spacing w:after="20" w:before="0" w:line="96" w:lineRule="auto"/>
      </w:pPr>
      <w:r>
        <w:rPr>
          <w:sz w:val="4"/>
        </w:rPr>
      </w:r>
    </w:p>
    <w:p>
      <w:pPr>
        <w:pStyle w:val="Heading2"/>
      </w:pPr>
      <w:r>
        <w:rPr>
          <w:rFonts w:ascii="Arial" w:hAnsi="Arial" w:eastAsia="Noto Sans CJK SC"/>
          <w:b w:val="0"/>
          <w:color w:val="000000"/>
          <w:lang w:val="en-US" w:eastAsia="zh-CN"/>
        </w:rPr>
        <w:t>Shared settlement hierarchy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691"/>
        <w:gridCol w:w="1944"/>
        <w:gridCol w:w="7301"/>
      </w:tblGrid>
      <w:tr>
        <w:trPr>
          <w:cantSplit/>
          <w:tblHeader/>
        </w:trPr>
        <w:tc>
          <w:tcPr>
            <w:tcW w:type="dxa" w:w="691"/>
            <w:vAlign w:val="center"/>
            <w:shd w:fill="E7EDF2"/>
          </w:tcPr>
          <w:p>
            <w:pPr>
              <w:spacing w:before="0" w:after="0" w:line="269" w:lineRule="auto"/>
              <w:jc w:val="center"/>
            </w:pPr>
            <w:r>
              <w:rPr>
                <w:rFonts w:ascii="Arial" w:hAnsi="Arial" w:eastAsia="Noto Sans CJK SC"/>
                <w:b/>
                <w:color w:val="000000"/>
                <w:sz w:val="21"/>
                <w:lang w:val="en-US" w:eastAsia="zh-CN"/>
              </w:rPr>
              <w:t>ID</w:t>
            </w:r>
          </w:p>
        </w:tc>
        <w:tc>
          <w:tcPr>
            <w:tcW w:type="dxa" w:w="1944"/>
            <w:vAlign w:val="center"/>
            <w:shd w:fill="E7EDF2"/>
          </w:tcPr>
          <w:p>
            <w:pPr>
              <w:spacing w:before="0" w:after="0" w:line="269" w:lineRule="auto"/>
            </w:pPr>
            <w:r>
              <w:rPr>
                <w:rFonts w:ascii="Arial" w:hAnsi="Arial" w:eastAsia="Noto Sans CJK SC"/>
                <w:b/>
                <w:color w:val="000000"/>
                <w:sz w:val="21"/>
                <w:lang w:val="en-US" w:eastAsia="zh-CN"/>
              </w:rPr>
              <w:t>Module</w:t>
            </w:r>
          </w:p>
        </w:tc>
        <w:tc>
          <w:tcPr>
            <w:tcW w:type="dxa" w:w="7301"/>
            <w:vAlign w:val="center"/>
            <w:shd w:fill="E7EDF2"/>
          </w:tcPr>
          <w:p>
            <w:pPr>
              <w:spacing w:before="0" w:after="0" w:line="269" w:lineRule="auto"/>
            </w:pPr>
            <w:r>
              <w:rPr>
                <w:rFonts w:ascii="Arial" w:hAnsi="Arial" w:eastAsia="Noto Sans CJK SC"/>
                <w:b/>
                <w:color w:val="000000"/>
                <w:sz w:val="21"/>
                <w:lang w:val="en-US" w:eastAsia="zh-CN"/>
              </w:rPr>
              <w:t>Included functions and information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M36</w:t>
            </w:r>
          </w:p>
        </w:tc>
        <w:tc>
          <w:tcPr>
            <w:tcW w:type="dxa" w:w="1944"/>
            <w:vAlign w:val="center"/>
          </w:tcPr>
          <w:p>
            <w:pPr>
              <w:spacing w:before="0" w:after="0" w:line="269" w:lineRule="auto"/>
            </w:pPr>
            <w:r>
              <w:rPr>
                <w:rFonts w:ascii="Arial" w:hAnsi="Arial" w:eastAsia="Noto Sans CJK SC"/>
                <w:b w:val="0"/>
                <w:color w:val="000000"/>
                <w:sz w:val="21"/>
                <w:lang w:val="en-US" w:eastAsia="zh-CN"/>
              </w:rPr>
              <w:t>Session result</w:t>
            </w:r>
          </w:p>
        </w:tc>
        <w:tc>
          <w:tcPr>
            <w:tcW w:type="dxa" w:w="7301"/>
            <w:vAlign w:val="center"/>
          </w:tcPr>
          <w:p>
            <w:pPr>
              <w:spacing w:before="0" w:after="0" w:line="269" w:lineRule="auto"/>
            </w:pPr>
            <w:r>
              <w:rPr>
                <w:rFonts w:ascii="Arial" w:hAnsi="Arial" w:eastAsia="Noto Sans CJK SC"/>
                <w:b w:val="0"/>
                <w:color w:val="000000"/>
                <w:sz w:val="21"/>
                <w:lang w:val="en-US" w:eastAsia="zh-CN"/>
              </w:rPr>
              <w:t>Extraction, death or timeout; cause, reward summary and next destination.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M37</w:t>
            </w:r>
          </w:p>
        </w:tc>
        <w:tc>
          <w:tcPr>
            <w:tcW w:type="dxa" w:w="1944"/>
            <w:vAlign w:val="center"/>
          </w:tcPr>
          <w:p>
            <w:pPr>
              <w:spacing w:before="0" w:after="0" w:line="269" w:lineRule="auto"/>
            </w:pPr>
            <w:r>
              <w:rPr>
                <w:rFonts w:ascii="Arial" w:hAnsi="Arial" w:eastAsia="Noto Sans CJK SC"/>
                <w:b w:val="0"/>
                <w:color w:val="000000"/>
                <w:sz w:val="21"/>
                <w:lang w:val="en-US" w:eastAsia="zh-CN"/>
              </w:rPr>
              <w:t>Cargo details</w:t>
            </w:r>
          </w:p>
        </w:tc>
        <w:tc>
          <w:tcPr>
            <w:tcW w:type="dxa" w:w="7301"/>
            <w:vAlign w:val="center"/>
          </w:tcPr>
          <w:p>
            <w:pPr>
              <w:spacing w:before="0" w:after="0" w:line="269" w:lineRule="auto"/>
            </w:pPr>
            <w:r>
              <w:rPr>
                <w:rFonts w:ascii="Arial" w:hAnsi="Arial" w:eastAsia="Noto Sans CJK SC"/>
                <w:b w:val="0"/>
                <w:color w:val="000000"/>
                <w:sz w:val="21"/>
                <w:lang w:val="en-US" w:eastAsia="zh-CN"/>
              </w:rPr>
              <w:t>Recovered items, full container trees and protected returns after failure.</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M38</w:t>
            </w:r>
          </w:p>
        </w:tc>
        <w:tc>
          <w:tcPr>
            <w:tcW w:type="dxa" w:w="1944"/>
            <w:vAlign w:val="center"/>
          </w:tcPr>
          <w:p>
            <w:pPr>
              <w:spacing w:before="0" w:after="0" w:line="269" w:lineRule="auto"/>
            </w:pPr>
            <w:r>
              <w:rPr>
                <w:rFonts w:ascii="Arial" w:hAnsi="Arial" w:eastAsia="Noto Sans CJK SC"/>
                <w:b w:val="0"/>
                <w:color w:val="000000"/>
                <w:sz w:val="21"/>
                <w:lang w:val="en-US" w:eastAsia="zh-CN"/>
              </w:rPr>
              <w:t>Save storage and next deployment</w:t>
            </w:r>
          </w:p>
        </w:tc>
        <w:tc>
          <w:tcPr>
            <w:tcW w:type="dxa" w:w="7301"/>
            <w:vAlign w:val="center"/>
          </w:tcPr>
          <w:p>
            <w:pPr>
              <w:spacing w:before="0" w:after="0" w:line="269" w:lineRule="auto"/>
            </w:pPr>
            <w:r>
              <w:rPr>
                <w:rFonts w:ascii="Arial" w:hAnsi="Arial" w:eastAsia="Noto Sans CJK SC"/>
                <w:b w:val="0"/>
                <w:color w:val="000000"/>
                <w:sz w:val="21"/>
                <w:lang w:val="en-US" w:eastAsia="zh-CN"/>
              </w:rPr>
              <w:t>Saving, retry, confirmed completion, storage result and next-deployment eligibility.</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M39</w:t>
            </w:r>
          </w:p>
        </w:tc>
        <w:tc>
          <w:tcPr>
            <w:tcW w:type="dxa" w:w="1944"/>
            <w:vAlign w:val="center"/>
          </w:tcPr>
          <w:p>
            <w:pPr>
              <w:spacing w:before="0" w:after="0" w:line="269" w:lineRule="auto"/>
            </w:pPr>
            <w:r>
              <w:rPr>
                <w:rFonts w:ascii="Arial" w:hAnsi="Arial" w:eastAsia="Noto Sans CJK SC"/>
                <w:b w:val="0"/>
                <w:color w:val="000000"/>
                <w:sz w:val="21"/>
                <w:lang w:val="en-US" w:eastAsia="zh-CN"/>
              </w:rPr>
              <w:t>Recovery inbox</w:t>
            </w:r>
          </w:p>
        </w:tc>
        <w:tc>
          <w:tcPr>
            <w:tcW w:type="dxa" w:w="7301"/>
            <w:vAlign w:val="center"/>
          </w:tcPr>
          <w:p>
            <w:pPr>
              <w:spacing w:before="0" w:after="0" w:line="269" w:lineRule="auto"/>
            </w:pPr>
            <w:r>
              <w:rPr>
                <w:rFonts w:ascii="Arial" w:hAnsi="Arial" w:eastAsia="Noto Sans CJK SC"/>
                <w:b w:val="0"/>
                <w:color w:val="000000"/>
                <w:sz w:val="21"/>
                <w:lang w:val="en-US" w:eastAsia="zh-CN"/>
              </w:rPr>
              <w:t>Items that could not be stored, claim one or all that fit, insufficient space, partial success and deployment restrictions.</w:t>
            </w:r>
          </w:p>
        </w:tc>
      </w:tr>
    </w:tbl>
    <w:p>
      <w:pPr>
        <w:spacing w:after="20" w:before="0" w:line="96" w:lineRule="auto"/>
      </w:pPr>
      <w:r>
        <w:rPr>
          <w:sz w:val="4"/>
        </w:rPr>
      </w:r>
    </w:p>
    <w:p>
      <w:r>
        <w:rPr>
          <w:rFonts w:ascii="Arial" w:hAnsi="Arial" w:eastAsia="Noto Sans CJK SC"/>
          <w:b w:val="0"/>
          <w:color w:val="000000"/>
          <w:lang w:val="en-US" w:eastAsia="zh-CN"/>
        </w:rPr>
        <w:t>Functional relationship: extraction or failure produces an outcome, followed by cargo destination and save confirmation. Screens may be merged without losing these information layers. Do not imply that the next deployment is safe before saving is confirmed.</w:t>
      </w:r>
    </w:p>
    <w:p>
      <w:r>
        <w:rPr>
          <w:rFonts w:ascii="Arial" w:hAnsi="Arial" w:eastAsia="Noto Sans CJK SC"/>
          <w:b w:val="0"/>
          <w:color w:val="000000"/>
          <w:lang w:val="en-US" w:eastAsia="zh-CN"/>
        </w:rPr>
        <w:t>The inbox is accessible through stash management. Secure container M12, pre-deployment insurance M25 and recovery inbox M39 are separate. Death protection does not mean successful extraction and grants no bounty or first-recovery achievement.</w:t>
      </w:r>
    </w:p>
    <w:p>
      <w:r>
        <w:br w:type="page"/>
      </w:r>
    </w:p>
    <w:p>
      <w:pPr>
        <w:pStyle w:val="Heading1"/>
      </w:pPr>
      <w:r>
        <w:rPr>
          <w:rFonts w:ascii="Arial" w:hAnsi="Arial" w:eastAsia="Noto Sans CJK SC"/>
          <w:b w:val="0"/>
          <w:color w:val="000000"/>
          <w:lang w:val="en-US" w:eastAsia="zh-CN"/>
        </w:rPr>
        <w:t>System scope and module mapping</w:t>
      </w:r>
    </w:p>
    <w:p>
      <w:pPr>
        <w:pStyle w:val="Heading2"/>
      </w:pPr>
      <w:r>
        <w:rPr>
          <w:rFonts w:ascii="Arial" w:hAnsi="Arial" w:eastAsia="Noto Sans CJK SC"/>
          <w:b w:val="0"/>
          <w:color w:val="000000"/>
          <w:lang w:val="en-US" w:eastAsia="zh-CN"/>
        </w:rPr>
        <w:t>System support modules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691"/>
        <w:gridCol w:w="1944"/>
        <w:gridCol w:w="7301"/>
      </w:tblGrid>
      <w:tr>
        <w:trPr>
          <w:cantSplit/>
          <w:tblHeader/>
        </w:trPr>
        <w:tc>
          <w:tcPr>
            <w:tcW w:type="dxa" w:w="691"/>
            <w:vAlign w:val="center"/>
            <w:shd w:fill="E7EDF2"/>
          </w:tcPr>
          <w:p>
            <w:pPr>
              <w:spacing w:before="0" w:after="0" w:line="269" w:lineRule="auto"/>
              <w:jc w:val="center"/>
            </w:pPr>
            <w:r>
              <w:rPr>
                <w:rFonts w:ascii="Arial" w:hAnsi="Arial" w:eastAsia="Noto Sans CJK SC"/>
                <w:b/>
                <w:color w:val="000000"/>
                <w:sz w:val="21"/>
                <w:lang w:val="en-US" w:eastAsia="zh-CN"/>
              </w:rPr>
              <w:t>ID</w:t>
            </w:r>
          </w:p>
        </w:tc>
        <w:tc>
          <w:tcPr>
            <w:tcW w:type="dxa" w:w="1944"/>
            <w:vAlign w:val="center"/>
            <w:shd w:fill="E7EDF2"/>
          </w:tcPr>
          <w:p>
            <w:pPr>
              <w:spacing w:before="0" w:after="0" w:line="269" w:lineRule="auto"/>
            </w:pPr>
            <w:r>
              <w:rPr>
                <w:rFonts w:ascii="Arial" w:hAnsi="Arial" w:eastAsia="Noto Sans CJK SC"/>
                <w:b/>
                <w:color w:val="000000"/>
                <w:sz w:val="21"/>
                <w:lang w:val="en-US" w:eastAsia="zh-CN"/>
              </w:rPr>
              <w:t>Module</w:t>
            </w:r>
          </w:p>
        </w:tc>
        <w:tc>
          <w:tcPr>
            <w:tcW w:type="dxa" w:w="7301"/>
            <w:vAlign w:val="center"/>
            <w:shd w:fill="E7EDF2"/>
          </w:tcPr>
          <w:p>
            <w:pPr>
              <w:spacing w:before="0" w:after="0" w:line="269" w:lineRule="auto"/>
            </w:pPr>
            <w:r>
              <w:rPr>
                <w:rFonts w:ascii="Arial" w:hAnsi="Arial" w:eastAsia="Noto Sans CJK SC"/>
                <w:b/>
                <w:color w:val="000000"/>
                <w:sz w:val="21"/>
                <w:lang w:val="en-US" w:eastAsia="zh-CN"/>
              </w:rPr>
              <w:t>Included functions and information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M45</w:t>
            </w:r>
          </w:p>
        </w:tc>
        <w:tc>
          <w:tcPr>
            <w:tcW w:type="dxa" w:w="1944"/>
            <w:vAlign w:val="center"/>
          </w:tcPr>
          <w:p>
            <w:pPr>
              <w:spacing w:before="0" w:after="0" w:line="269" w:lineRule="auto"/>
            </w:pPr>
            <w:r>
              <w:rPr>
                <w:rFonts w:ascii="Arial" w:hAnsi="Arial" w:eastAsia="Noto Sans CJK SC"/>
                <w:b w:val="0"/>
                <w:color w:val="000000"/>
                <w:sz w:val="21"/>
                <w:lang w:val="en-US" w:eastAsia="zh-CN"/>
              </w:rPr>
              <w:t>Settings</w:t>
            </w:r>
          </w:p>
        </w:tc>
        <w:tc>
          <w:tcPr>
            <w:tcW w:type="dxa" w:w="7301"/>
            <w:vAlign w:val="center"/>
          </w:tcPr>
          <w:p>
            <w:pPr>
              <w:spacing w:before="0" w:after="0" w:line="269" w:lineRule="auto"/>
            </w:pPr>
            <w:r>
              <w:rPr>
                <w:rFonts w:ascii="Arial" w:hAnsi="Arial" w:eastAsia="Noto Sans CJK SC"/>
                <w:b w:val="0"/>
                <w:color w:val="000000"/>
                <w:sz w:val="21"/>
                <w:lang w:val="en-US" w:eastAsia="zh-CN"/>
              </w:rPr>
              <w:t>Audio, display, language and existing HUD settings; current values, apply and return.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M46</w:t>
            </w:r>
          </w:p>
        </w:tc>
        <w:tc>
          <w:tcPr>
            <w:tcW w:type="dxa" w:w="1944"/>
            <w:vAlign w:val="center"/>
          </w:tcPr>
          <w:p>
            <w:pPr>
              <w:spacing w:before="0" w:after="0" w:line="269" w:lineRule="auto"/>
            </w:pPr>
            <w:r>
              <w:rPr>
                <w:rFonts w:ascii="Arial" w:hAnsi="Arial" w:eastAsia="Noto Sans CJK SC"/>
                <w:b w:val="0"/>
                <w:color w:val="000000"/>
                <w:sz w:val="21"/>
                <w:lang w:val="en-US" w:eastAsia="zh-CN"/>
              </w:rPr>
              <w:t>In-session menu</w:t>
            </w:r>
          </w:p>
        </w:tc>
        <w:tc>
          <w:tcPr>
            <w:tcW w:type="dxa" w:w="7301"/>
            <w:vAlign w:val="center"/>
          </w:tcPr>
          <w:p>
            <w:pPr>
              <w:spacing w:before="0" w:after="0" w:line="269" w:lineRule="auto"/>
            </w:pPr>
            <w:r>
              <w:rPr>
                <w:rFonts w:ascii="Arial" w:hAnsi="Arial" w:eastAsia="Noto Sans CJK SC"/>
                <w:b w:val="0"/>
                <w:color w:val="000000"/>
                <w:sz w:val="21"/>
                <w:lang w:val="en-US" w:eastAsia="zh-CN"/>
              </w:rPr>
              <w:t>Resume, main menu and actual exit actions. Opening the menu does not pause an online session.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M47</w:t>
            </w:r>
          </w:p>
        </w:tc>
        <w:tc>
          <w:tcPr>
            <w:tcW w:type="dxa" w:w="1944"/>
            <w:vAlign w:val="center"/>
          </w:tcPr>
          <w:p>
            <w:pPr>
              <w:spacing w:before="0" w:after="0" w:line="269" w:lineRule="auto"/>
            </w:pPr>
            <w:r>
              <w:rPr>
                <w:rFonts w:ascii="Arial" w:hAnsi="Arial" w:eastAsia="Noto Sans CJK SC"/>
                <w:b w:val="0"/>
                <w:color w:val="000000"/>
                <w:sz w:val="21"/>
                <w:lang w:val="en-US" w:eastAsia="zh-CN"/>
              </w:rPr>
              <w:t>Death presentation</w:t>
            </w:r>
          </w:p>
        </w:tc>
        <w:tc>
          <w:tcPr>
            <w:tcW w:type="dxa" w:w="7301"/>
            <w:vAlign w:val="center"/>
          </w:tcPr>
          <w:p>
            <w:pPr>
              <w:spacing w:before="0" w:after="0" w:line="269" w:lineRule="auto"/>
            </w:pPr>
            <w:r>
              <w:rPr>
                <w:rFonts w:ascii="Arial" w:hAnsi="Arial" w:eastAsia="Noto Sans CJK SC"/>
                <w:b w:val="0"/>
                <w:color w:val="000000"/>
                <w:sz w:val="21"/>
                <w:lang w:val="en-US" w:eastAsia="zh-CN"/>
              </w:rPr>
              <w:t>Actual available cause or death state and access to settlement; no unsupported respawn option.</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M50</w:t>
            </w:r>
          </w:p>
        </w:tc>
        <w:tc>
          <w:tcPr>
            <w:tcW w:type="dxa" w:w="1944"/>
            <w:vAlign w:val="center"/>
          </w:tcPr>
          <w:p>
            <w:pPr>
              <w:spacing w:before="0" w:after="0" w:line="269" w:lineRule="auto"/>
            </w:pPr>
            <w:r>
              <w:rPr>
                <w:rFonts w:ascii="Arial" w:hAnsi="Arial" w:eastAsia="Noto Sans CJK SC"/>
                <w:b w:val="0"/>
                <w:color w:val="000000"/>
                <w:sz w:val="21"/>
                <w:lang w:val="en-US" w:eastAsia="zh-CN"/>
              </w:rPr>
              <w:t>Combat feedback and action feed</w:t>
            </w:r>
          </w:p>
        </w:tc>
        <w:tc>
          <w:tcPr>
            <w:tcW w:type="dxa" w:w="7301"/>
            <w:vAlign w:val="center"/>
          </w:tcPr>
          <w:p>
            <w:pPr>
              <w:spacing w:before="0" w:after="0" w:line="269" w:lineRule="auto"/>
            </w:pPr>
            <w:r>
              <w:rPr>
                <w:rFonts w:ascii="Arial" w:hAnsi="Arial" w:eastAsia="Noto Sans CJK SC"/>
                <w:b w:val="0"/>
                <w:color w:val="000000"/>
                <w:sz w:val="21"/>
                <w:lang w:val="en-US" w:eastAsia="zh-CN"/>
              </w:rPr>
              <w:t>Hit or kill confirmation and join or kill events; part of HUD or shared feedback, not a required standalone page.</w:t>
            </w:r>
          </w:p>
        </w:tc>
      </w:tr>
      <w:tr>
        <w:trPr>
          <w:cantSplit/>
        </w:trPr>
        <w:tc>
          <w:tcPr>
            <w:tcW w:type="dxa" w:w="691"/>
            <w:vAlign w:val="center"/>
          </w:tcPr>
          <w:p>
            <w:pPr>
              <w:spacing w:before="0" w:after="0" w:line="269" w:lineRule="auto"/>
              <w:jc w:val="center"/>
            </w:pPr>
            <w:r>
              <w:rPr>
                <w:rFonts w:ascii="Arial" w:hAnsi="Arial" w:eastAsia="Noto Sans CJK SC"/>
                <w:b w:val="0"/>
                <w:color w:val="000000"/>
                <w:sz w:val="21"/>
                <w:lang w:val="en-US" w:eastAsia="zh-CN"/>
              </w:rPr>
              <w:t>M51</w:t>
            </w:r>
          </w:p>
        </w:tc>
        <w:tc>
          <w:tcPr>
            <w:tcW w:type="dxa" w:w="1944"/>
            <w:vAlign w:val="center"/>
          </w:tcPr>
          <w:p>
            <w:pPr>
              <w:spacing w:before="0" w:after="0" w:line="269" w:lineRule="auto"/>
            </w:pPr>
            <w:r>
              <w:rPr>
                <w:rFonts w:ascii="Arial" w:hAnsi="Arial" w:eastAsia="Noto Sans CJK SC"/>
                <w:b w:val="0"/>
                <w:color w:val="000000"/>
                <w:sz w:val="21"/>
                <w:lang w:val="en-US" w:eastAsia="zh-CN"/>
              </w:rPr>
              <w:t>Development tools Excluded</w:t>
            </w:r>
          </w:p>
        </w:tc>
        <w:tc>
          <w:tcPr>
            <w:tcW w:type="dxa" w:w="7301"/>
            <w:vAlign w:val="center"/>
          </w:tcPr>
          <w:p>
            <w:pPr>
              <w:spacing w:before="0" w:after="0" w:line="269" w:lineRule="auto"/>
            </w:pPr>
            <w:r>
              <w:rPr>
                <w:rFonts w:ascii="Arial" w:hAnsi="Arial" w:eastAsia="Noto Sans CJK SC"/>
                <w:b w:val="0"/>
                <w:color w:val="000000"/>
                <w:sz w:val="21"/>
                <w:lang w:val="en-US" w:eastAsia="zh-CN"/>
              </w:rPr>
              <w:t>Diagnostics, LOCAL REVIEW, legacy template leaderboards, UI previews and gesture labs are excluded from player scope.</w:t>
            </w:r>
          </w:p>
        </w:tc>
      </w:tr>
    </w:tbl>
    <w:p>
      <w:pPr>
        <w:spacing w:after="20" w:before="0" w:line="96" w:lineRule="auto"/>
      </w:pPr>
      <w:r>
        <w:rPr>
          <w:sz w:val="4"/>
        </w:rPr>
      </w:r>
    </w:p>
    <w:p>
      <w:pPr>
        <w:pStyle w:val="Heading2"/>
      </w:pPr>
      <w:r>
        <w:rPr>
          <w:rFonts w:ascii="Arial" w:hAnsi="Arial" w:eastAsia="Noto Sans CJK SC"/>
          <w:b w:val="0"/>
          <w:color w:val="000000"/>
          <w:lang w:val="en-US" w:eastAsia="zh-CN"/>
        </w:rPr>
        <w:t>How to check coverage</w:t>
      </w:r>
    </w:p>
    <w:p>
      <w:r>
        <w:rPr>
          <w:rFonts w:ascii="Arial" w:hAnsi="Arial" w:eastAsia="Noto Sans CJK SC"/>
          <w:b w:val="0"/>
          <w:color w:val="000000"/>
          <w:lang w:val="en-US" w:eastAsia="zh-CN"/>
        </w:rPr>
        <w:t>Label each design with the M IDs it covers and keep a module-to-frame or region mapping. Every item from M01 to M50 needs a destination. A shared module needs one clear treatment, not duplicate screens for the sake of counting.</w:t>
      </w:r>
    </w:p>
    <w:p>
      <w:r>
        <w:rPr>
          <w:rFonts w:ascii="Arial" w:hAnsi="Arial" w:eastAsia="Noto Sans CJK SC"/>
          <w:b w:val="0"/>
          <w:color w:val="000000"/>
          <w:lang w:val="en-US" w:eastAsia="zh-CN"/>
        </w:rPr>
        <w:t>Check access, child-module completeness and shared relationships. Visual direction, composition, layout, motion and screen count belong to the artist's proposal. This brief does not require the existing navigation, three-column inventory or five-step preparation.</w:t>
      </w:r>
    </w:p>
    <w:p>
      <w:r>
        <w:rPr>
          <w:rFonts w:ascii="Arial" w:hAnsi="Arial" w:eastAsia="Noto Sans CJK SC"/>
          <w:b w:val="0"/>
          <w:color w:val="000000"/>
          <w:lang w:val="en-US" w:eastAsia="zh-CN"/>
        </w:rPr>
        <w:t>Unavailable base, comms and insurance functions retain module mappings. Their current boundaries must remain clear rather than implying implemented services. Code implementation elsewhere also does not establish current gameplay acceptance.</w:t>
      </w:r>
    </w:p>
    <w:p>
      <w:pPr>
        <w:pStyle w:val="Heading2"/>
      </w:pPr>
      <w:r>
        <w:rPr>
          <w:rFonts w:ascii="Arial" w:hAnsi="Arial" w:eastAsia="Noto Sans CJK SC"/>
          <w:b w:val="0"/>
          <w:color w:val="000000"/>
          <w:lang w:val="en-US" w:eastAsia="zh-CN"/>
        </w:rPr>
        <w:t>Sources</w:t>
      </w:r>
    </w:p>
    <w:p>
      <w:r>
        <w:rPr>
          <w:rFonts w:ascii="Arial" w:hAnsi="Arial" w:eastAsia="Noto Sans CJK SC"/>
          <w:b w:val="0"/>
          <w:color w:val="000000"/>
          <w:lang w:val="en-US" w:eastAsia="zh-CN"/>
        </w:rPr>
        <w:t>This brief uses develop 11c245a3 and project handoff records as of 25 October 2026. Historical screenshots are context only; current implementation takes precedence where descriptions conflict.</w:t>
      </w:r>
    </w:p>
    <w:p>
      <w:r>
        <w:br w:type="page"/>
      </w:r>
    </w:p>
    <w:p>
      <w:pPr>
        <w:pStyle w:val="Heading1"/>
      </w:pPr>
      <w:r>
        <w:rPr>
          <w:rFonts w:ascii="Arial" w:hAnsi="Arial" w:eastAsia="Noto Sans CJK SC"/>
          <w:b w:val="0"/>
          <w:color w:val="000000"/>
          <w:lang w:val="en-US" w:eastAsia="zh-CN"/>
        </w:rPr>
        <w:t>Minimum handoff requirements for the artist</w:t>
      </w:r>
    </w:p>
    <w:p>
      <w:r>
        <w:rPr>
          <w:rFonts w:ascii="Arial" w:hAnsi="Arial" w:eastAsia="Noto Sans CJK SC"/>
          <w:b w:val="0"/>
          <w:color w:val="000000"/>
          <w:lang w:val="en-US" w:eastAsia="zh-CN"/>
        </w:rPr>
        <w:t>This page helps implementation match the design without limiting creativity. No specialist UI software, atlas packing, code or Unity setup is required from the artist. Test the handoff with one button, one window and one item tile before producing the full set.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800"/>
        <w:gridCol w:w="8136"/>
      </w:tblGrid>
      <w:tr>
        <w:trPr>
          <w:cantSplit/>
          <w:tblHeader/>
        </w:trPr>
        <w:tc>
          <w:tcPr>
            <w:tcW w:type="dxa" w:w="1800"/>
            <w:vAlign w:val="center"/>
            <w:shd w:fill="E7EDF2"/>
          </w:tcPr>
          <w:p>
            <w:pPr>
              <w:spacing w:before="0" w:after="0" w:line="269" w:lineRule="auto"/>
            </w:pPr>
            <w:r>
              <w:rPr>
                <w:rFonts w:ascii="Arial" w:hAnsi="Arial" w:eastAsia="Noto Sans CJK SC"/>
                <w:b/>
                <w:color w:val="000000"/>
                <w:sz w:val="21"/>
                <w:lang w:val="en-US" w:eastAsia="zh-CN"/>
              </w:rPr>
              <w:t>Deliverable</w:t>
            </w:r>
          </w:p>
        </w:tc>
        <w:tc>
          <w:tcPr>
            <w:tcW w:type="dxa" w:w="8136"/>
            <w:vAlign w:val="center"/>
            <w:shd w:fill="E7EDF2"/>
          </w:tcPr>
          <w:p>
            <w:pPr>
              <w:spacing w:before="0" w:after="0" w:line="269" w:lineRule="auto"/>
            </w:pPr>
            <w:r>
              <w:rPr>
                <w:rFonts w:ascii="Arial" w:hAnsi="Arial" w:eastAsia="Noto Sans CJK SC"/>
                <w:b/>
                <w:color w:val="000000"/>
                <w:sz w:val="21"/>
                <w:lang w:val="en-US" w:eastAsia="zh-CN"/>
              </w:rPr>
              <w:t>Minimum requirement</w:t>
            </w:r>
          </w:p>
        </w:tc>
      </w:tr>
      <w:tr>
        <w:trPr>
          <w:cantSplit/>
        </w:trPr>
        <w:tc>
          <w:tcPr>
            <w:tcW w:type="dxa" w:w="1800"/>
            <w:vAlign w:val="center"/>
          </w:tcPr>
          <w:p>
            <w:pPr>
              <w:spacing w:before="0" w:after="0" w:line="269" w:lineRule="auto"/>
            </w:pPr>
            <w:r>
              <w:rPr>
                <w:rFonts w:ascii="Arial" w:hAnsi="Arial" w:eastAsia="Noto Sans CJK SC"/>
                <w:b w:val="0"/>
                <w:color w:val="000000"/>
                <w:sz w:val="21"/>
                <w:lang w:val="en-US" w:eastAsia="zh-CN"/>
              </w:rPr>
              <w:t>Complete mockup</w:t>
            </w:r>
          </w:p>
        </w:tc>
        <w:tc>
          <w:tcPr>
            <w:tcW w:type="dxa" w:w="8136"/>
            <w:vAlign w:val="center"/>
          </w:tcPr>
          <w:p>
            <w:pPr>
              <w:spacing w:before="0" w:after="0" w:line="269" w:lineRule="auto"/>
            </w:pPr>
            <w:r>
              <w:rPr>
                <w:rFonts w:ascii="Arial" w:hAnsi="Arial" w:eastAsia="Noto Sans CJK SC"/>
                <w:b w:val="0"/>
                <w:color w:val="000000"/>
                <w:sz w:val="21"/>
                <w:lang w:val="en-US" w:eastAsia="zh-CN"/>
              </w:rPr>
              <w:t>State the design dimensions and M IDs. Show the content, actions and image crop clearly.</w:t>
            </w:r>
          </w:p>
        </w:tc>
      </w:tr>
      <w:tr>
        <w:trPr>
          <w:cantSplit/>
        </w:trPr>
        <w:tc>
          <w:tcPr>
            <w:tcW w:type="dxa" w:w="1800"/>
            <w:vAlign w:val="center"/>
          </w:tcPr>
          <w:p>
            <w:pPr>
              <w:spacing w:before="0" w:after="0" w:line="269" w:lineRule="auto"/>
            </w:pPr>
            <w:r>
              <w:rPr>
                <w:rFonts w:ascii="Arial" w:hAnsi="Arial" w:eastAsia="Noto Sans CJK SC"/>
                <w:b w:val="0"/>
                <w:color w:val="000000"/>
                <w:sz w:val="21"/>
                <w:lang w:val="en-US" w:eastAsia="zh-CN"/>
              </w:rPr>
              <w:t>Editable source</w:t>
            </w:r>
          </w:p>
        </w:tc>
        <w:tc>
          <w:tcPr>
            <w:tcW w:type="dxa" w:w="8136"/>
            <w:vAlign w:val="center"/>
          </w:tcPr>
          <w:p>
            <w:pPr>
              <w:spacing w:before="0" w:after="0" w:line="269" w:lineRule="auto"/>
            </w:pPr>
            <w:r>
              <w:rPr>
                <w:rFonts w:ascii="Arial" w:hAnsi="Arial" w:eastAsia="Noto Sans CJK SC"/>
                <w:b w:val="0"/>
                <w:color w:val="000000"/>
                <w:sz w:val="21"/>
                <w:lang w:val="en-US" w:eastAsia="zh-CN"/>
              </w:rPr>
              <w:t>Use familiar software. Separate backgrounds, illustrations, borders and text; identify the fonts.</w:t>
            </w:r>
          </w:p>
        </w:tc>
      </w:tr>
      <w:tr>
        <w:trPr>
          <w:cantSplit/>
        </w:trPr>
        <w:tc>
          <w:tcPr>
            <w:tcW w:type="dxa" w:w="1800"/>
            <w:vAlign w:val="center"/>
          </w:tcPr>
          <w:p>
            <w:pPr>
              <w:spacing w:before="0" w:after="0" w:line="269" w:lineRule="auto"/>
            </w:pPr>
            <w:r>
              <w:rPr>
                <w:rFonts w:ascii="Arial" w:hAnsi="Arial" w:eastAsia="Noto Sans CJK SC"/>
                <w:b w:val="0"/>
                <w:color w:val="000000"/>
                <w:sz w:val="21"/>
                <w:lang w:val="en-US" w:eastAsia="zh-CN"/>
              </w:rPr>
              <w:t>Shared components</w:t>
            </w:r>
          </w:p>
        </w:tc>
        <w:tc>
          <w:tcPr>
            <w:tcW w:type="dxa" w:w="8136"/>
            <w:vAlign w:val="center"/>
          </w:tcPr>
          <w:p>
            <w:pPr>
              <w:spacing w:before="0" w:after="0" w:line="269" w:lineRule="auto"/>
            </w:pPr>
            <w:r>
              <w:rPr>
                <w:rFonts w:ascii="Arial" w:hAnsi="Arial" w:eastAsia="Noto Sans CJK SC"/>
                <w:b w:val="0"/>
                <w:color w:val="000000"/>
                <w:sz w:val="21"/>
                <w:lang w:val="en-US" w:eastAsia="zh-CN"/>
              </w:rPr>
              <w:t>Supply each shared button, window, tab, item tile or progress style once. Code can draw flat boxes, lines and simple circles without image exports.</w:t>
            </w:r>
          </w:p>
        </w:tc>
      </w:tr>
      <w:tr>
        <w:trPr>
          <w:cantSplit/>
        </w:trPr>
        <w:tc>
          <w:tcPr>
            <w:tcW w:type="dxa" w:w="1800"/>
            <w:vAlign w:val="center"/>
          </w:tcPr>
          <w:p>
            <w:pPr>
              <w:spacing w:before="0" w:after="0" w:line="269" w:lineRule="auto"/>
            </w:pPr>
            <w:r>
              <w:rPr>
                <w:rFonts w:ascii="Arial" w:hAnsi="Arial" w:eastAsia="Noto Sans CJK SC"/>
                <w:b w:val="0"/>
                <w:color w:val="000000"/>
                <w:sz w:val="21"/>
                <w:lang w:val="en-US" w:eastAsia="zh-CN"/>
              </w:rPr>
              <w:t>Separate artwork</w:t>
            </w:r>
          </w:p>
        </w:tc>
        <w:tc>
          <w:tcPr>
            <w:tcW w:type="dxa" w:w="8136"/>
            <w:vAlign w:val="center"/>
          </w:tcPr>
          <w:p>
            <w:pPr>
              <w:spacing w:before="0" w:after="0" w:line="269" w:lineRule="auto"/>
            </w:pPr>
            <w:r>
              <w:rPr>
                <w:rFonts w:ascii="Arial" w:hAnsi="Arial" w:eastAsia="Noto Sans CJK SC"/>
                <w:b w:val="0"/>
                <w:color w:val="000000"/>
                <w:sz w:val="21"/>
                <w:lang w:val="en-US" w:eastAsia="zh-CN"/>
              </w:rPr>
              <w:t>Export required icons, illustrations and textured surfaces as separate PNGs, with transparency where needed. Keep labels, counts and prices out of shared backgrounds.</w:t>
            </w:r>
          </w:p>
        </w:tc>
      </w:tr>
      <w:tr>
        <w:trPr>
          <w:cantSplit/>
        </w:trPr>
        <w:tc>
          <w:tcPr>
            <w:tcW w:type="dxa" w:w="1800"/>
            <w:vAlign w:val="center"/>
          </w:tcPr>
          <w:p>
            <w:pPr>
              <w:spacing w:before="0" w:after="0" w:line="269" w:lineRule="auto"/>
            </w:pPr>
            <w:r>
              <w:rPr>
                <w:rFonts w:ascii="Arial" w:hAnsi="Arial" w:eastAsia="Noto Sans CJK SC"/>
                <w:b w:val="0"/>
                <w:color w:val="000000"/>
                <w:sz w:val="21"/>
                <w:lang w:val="en-US" w:eastAsia="zh-CN"/>
              </w:rPr>
              <w:t>States and asset list</w:t>
            </w:r>
          </w:p>
        </w:tc>
        <w:tc>
          <w:tcPr>
            <w:tcW w:type="dxa" w:w="8136"/>
            <w:vAlign w:val="center"/>
          </w:tcPr>
          <w:p>
            <w:pPr>
              <w:spacing w:before="0" w:after="0" w:line="269" w:lineRule="auto"/>
            </w:pPr>
            <w:r>
              <w:rPr>
                <w:rFonts w:ascii="Arial" w:hAnsi="Arial" w:eastAsia="Noto Sans CJK SC"/>
                <w:b w:val="0"/>
                <w:color w:val="000000"/>
                <w:sz w:val="21"/>
                <w:lang w:val="en-US" w:eastAsia="zh-CN"/>
              </w:rPr>
              <w:t>Describe default, hover or focus, pressed, selected and disabled, plus pending or error where relevant. List name, use, dimensions, slice borders and content padding; leave irrelevant fields blank.</w:t>
            </w:r>
          </w:p>
        </w:tc>
      </w:tr>
    </w:tbl>
    <w:p>
      <w:pPr>
        <w:spacing w:after="20" w:before="0" w:line="96" w:lineRule="auto"/>
      </w:pPr>
      <w:r>
        <w:rPr>
          <w:sz w:val="4"/>
        </w:rPr>
      </w:r>
    </w:p>
    <w:p>
      <w:pPr>
        <w:pStyle w:val="Heading2"/>
      </w:pPr>
      <w:r>
        <w:rPr>
          <w:rFonts w:ascii="Arial" w:hAnsi="Arial" w:eastAsia="Noto Sans CJK SC"/>
          <w:b w:val="0"/>
          <w:color w:val="000000"/>
          <w:lang w:val="en-US" w:eastAsia="zh-CN"/>
        </w:rPr>
        <w:t>Use nine slicing for resizable frames</w:t>
      </w:r>
    </w:p>
    <w:p>
      <w:r>
        <w:rPr>
          <w:rFonts w:ascii="Arial" w:hAnsi="Arial" w:eastAsia="Noto Sans CJK SC"/>
          <w:b w:val="0"/>
          <w:color w:val="000000"/>
          <w:lang w:val="en-US" w:eastAsia="zh-CN"/>
        </w:rPr>
        <w:t>Use nine slicing when a button surface or window frame must resize while preserving its corners. Usually deliver one complete PNG, not nine files. Mark fixed left, top, right and bottom regions in exported-image pixels, plus the minimum usable size. Icons, characters and illustrations normally preserve aspect ratio instead.</w:t>
      </w:r>
    </w:p>
    <w:p>
      <w:r>
        <w:rPr>
          <w:rFonts w:ascii="Arial" w:hAnsi="Arial" w:eastAsia="Noto Sans CJK SC"/>
          <w:b w:val="0"/>
          <w:color w:val="000000"/>
          <w:lang w:val="en-US" w:eastAsia="zh-CN"/>
        </w:rPr>
        <w:t>For example, a 128×64 PNG may preserve 12 px on each side. This illustrates notation, not a mandatory size. Specify text padding separately from slice borders. State images should share canvas size and alignment; color-only changes can use annotations.</w:t>
      </w:r>
    </w:p>
    <w:p>
      <w:pPr>
        <w:pStyle w:val="Heading2"/>
      </w:pPr>
      <w:r>
        <w:rPr>
          <w:rFonts w:ascii="Arial" w:hAnsi="Arial" w:eastAsia="Noto Sans CJK SC"/>
          <w:b w:val="0"/>
          <w:color w:val="000000"/>
          <w:lang w:val="en-US" w:eastAsia="zh-CN"/>
        </w:rPr>
        <w:t>Implementation and verification belong to the developer</w:t>
      </w:r>
    </w:p>
    <w:p>
      <w:r>
        <w:rPr>
          <w:rFonts w:ascii="Arial" w:hAnsi="Arial" w:eastAsia="Noto Sans CJK SC"/>
          <w:b w:val="0"/>
          <w:color w:val="000000"/>
          <w:lang w:val="en-US" w:eastAsia="zh-CN"/>
        </w:rPr>
        <w:t>The developer handles importing, slice settings, dynamic text, localization, interaction, real data and adaptation. Check corners, borders and text at wider and smaller sizes, then adjust artwork or padding together.</w:t>
      </w:r>
    </w:p>
    <w:sectPr w:rsidR="00FC693F" w:rsidRPr="0006063C" w:rsidSect="00034616">
      <w:headerReference w:type="default" r:id="rId9"/>
      <w:footerReference w:type="default" r:id="rId10"/>
      <w:pgSz w:w="12240" w:h="15840"/>
      <w:pgMar w:top="893" w:right="1152" w:bottom="893"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SC"/>
        <w:color w:val="000000"/>
        <w:sz w:val="18"/>
        <w:lang w:val="en-US" w:eastAsia="zh-CN"/>
      </w:rPr>
      <w:t xml:space="preserve">2026-10-25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Noto Sans CJK SC"/>
        <w:color w:val="000000"/>
        <w:sz w:val="18"/>
        <w:lang w:val="en-US" w:eastAsia="zh-CN"/>
      </w:rPr>
      <w:t>MOONKOV  /  UI MODULES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40"/>
    </w:pPr>
    <w:rPr>
      <w:rFonts w:ascii="Arial" w:hAnsi="Arial"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outlineLvl w:val="0"/>
    </w:pPr>
    <w:rPr>
      <w:rFonts w:asciiTheme="majorHAnsi" w:eastAsiaTheme="majorEastAsia" w:hAnsiTheme="majorHAnsi" w:cstheme="majorBidi" w:ascii="Arial" w:hAnsi="Arial" w:eastAsia="Noto Sans CJK SC"/>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Arial" w:hAnsi="Arial" w:eastAsia="Noto Sans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Arial" w:hAnsi="Arial" w:eastAsia="Noto Sans CJK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Moonkov UI Modules and Hierarchy Brief</dc:title>
  <dc:subject>Functional modules and hierarchy for UI art planning</dc:subject>
  <dc:creator>Moonkov</dc:creator>
  <cp:keywords>Moonkov UI modules hierarchy art brief</cp:keywords>
  <dc:description>generated by python-docx</dc:description>
  <cp:lastModifiedBy/>
  <cp:revision>1</cp:revision>
  <dcterms:created xsi:type="dcterms:W3CDTF">2013-12-23T23:15:00Z</dcterms:created>
  <dcterms:modified xsi:type="dcterms:W3CDTF">2013-12-23T23:15:00Z</dcterms:modified>
  <cp:category/>
</cp:coreProperties>
</file>