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Noto Sans CJK SC"/>
          <w:b w:val="0"/>
          <w:color w:val="000000"/>
          <w:lang w:val="zh-CN" w:eastAsia="zh-CN"/>
        </w:rPr>
        <w:t>Moonkov UI 模块与层级策划案</w:t>
      </w:r>
    </w:p>
    <w:p>
      <w:r>
        <w:rPr>
          <w:rFonts w:ascii="Arial" w:hAnsi="Arial" w:eastAsia="Noto Sans CJK SC"/>
          <w:b w:val="0"/>
          <w:color w:val="000000"/>
          <w:lang w:val="zh-CN" w:eastAsia="zh-CN"/>
        </w:rPr>
        <w:t>中文交付版  2026年10月25日  v1.0</w:t>
      </w:r>
    </w:p>
    <w:p>
      <w:r>
        <w:rPr>
          <w:rFonts w:ascii="Arial" w:hAnsi="Arial" w:eastAsia="Noto Sans CJK SC"/>
          <w:b w:val="0"/>
          <w:color w:val="000000"/>
          <w:lang w:val="zh-CN" w:eastAsia="zh-CN"/>
        </w:rPr>
        <w:t>供 UI 美术了解项目功能范围。本案重点说明有哪些模块、模块下面有什么，以及模块之间的关系。Moonkov 是月球题材的二次元角色第一人称射击撤离游戏，包含远征与赏金玩法。</w:t>
      </w:r>
    </w:p>
    <w:p>
      <w:r>
        <w:rPr>
          <w:rFonts w:ascii="Arial" w:hAnsi="Arial" w:eastAsia="Noto Sans CJK SC"/>
          <w:b w:val="0"/>
          <w:color w:val="000000"/>
          <w:lang w:val="zh-CN" w:eastAsia="zh-CN"/>
        </w:rPr>
        <w:t>主界面计划重做。美术自主决定风格、构图、布局和页面组合。下列层级是功能分类，不是规定菜单必须怎样排列。一个页面可以承载多个模块，一个模块也可以拆成多个页面。</w:t>
      </w:r>
    </w:p>
    <w:p>
      <w:pPr>
        <w:pStyle w:val="Heading2"/>
      </w:pPr>
      <w:r>
        <w:rPr>
          <w:rFonts w:ascii="Arial" w:hAnsi="Arial" w:eastAsia="Noto Sans CJK SC"/>
          <w:b w:val="0"/>
          <w:color w:val="000000"/>
          <w:lang w:val="zh-CN" w:eastAsia="zh-CN"/>
        </w:rPr>
        <w:t>一级与二级模块总览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376"/>
        <w:gridCol w:w="7560"/>
      </w:tblGrid>
      <w:tr>
        <w:trPr>
          <w:cantSplit/>
          <w:tblHeader/>
        </w:trPr>
        <w:tc>
          <w:tcPr>
            <w:tcW w:type="dxa" w:w="2376"/>
            <w:vAlign w:val="center"/>
            <w:shd w:fill="E7EDF2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一级模块</w:t>
            </w:r>
          </w:p>
        </w:tc>
        <w:tc>
          <w:tcPr>
            <w:tcW w:type="dxa" w:w="7560"/>
            <w:vAlign w:val="center"/>
            <w:shd w:fill="E7EDF2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二级模块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入口与会话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主界面、账号、全局导航、在线小队、LAN、连接与加载。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基地管理与成长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装备与物品、仓库、光环、供应商、交易、应急补给、研究、制造、任务与成长；基地和通讯占位。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出发准备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角色与装备检查、地点、简报与携带、风险与回收、最终确认。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战局内通用模块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战斗 HUD、健康与生存、随身管理、搜刮、快捷栏、世界交互、工具、地图、局内事件、撤离。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赏金专用模块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模式与准备、阶段与目标、放逐与赏金、暗视、小队与救援、赏金结算。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结算与返回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行动结果、物资明细、保存与入库、待领取、再出发。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系统辅助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设置、局内菜单、死亡呈现、战斗提示与行动播报。</w:t>
            </w:r>
          </w:p>
        </w:tc>
      </w:tr>
    </w:tbl>
    <w:p>
      <w:pPr>
        <w:spacing w:after="20" w:before="0" w:line="96" w:lineRule="auto"/>
      </w:pPr>
      <w:r>
        <w:rPr>
          <w:sz w:val="4"/>
        </w:rPr>
      </w:r>
    </w:p>
    <w:p>
      <w:r>
        <w:rPr>
          <w:rFonts w:ascii="Arial" w:hAnsi="Arial" w:eastAsia="Noto Sans CJK SC"/>
          <w:b w:val="0"/>
          <w:color w:val="000000"/>
          <w:lang w:val="zh-CN" w:eastAsia="zh-CN"/>
        </w:rPr>
        <w:t>后文使用 M01 至 M50 标记玩家功能，M51 标记开发工具范围。编号用于防止遗漏，不要求每项单独做一张页面。</w:t>
      </w:r>
    </w:p>
    <w:p>
      <w:r>
        <w:rPr>
          <w:rFonts w:ascii="Arial" w:hAnsi="Arial" w:eastAsia="Noto Sans CJK SC"/>
          <w:b w:val="0"/>
          <w:color w:val="000000"/>
          <w:lang w:val="zh-CN" w:eastAsia="zh-CN"/>
        </w:rPr>
        <w:t>范围依据：develop 11c245a3 的代码与项目文档。当前有实现不代表已经完成当前版本的实机或视觉验收。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 w:val="0"/>
          <w:color w:val="000000"/>
          <w:lang w:val="zh-CN" w:eastAsia="zh-CN"/>
        </w:rPr>
        <w:t>入口会话与出发准备</w:t>
      </w:r>
    </w:p>
    <w:p>
      <w:pPr>
        <w:pStyle w:val="Heading2"/>
      </w:pPr>
      <w:r>
        <w:rPr>
          <w:rFonts w:ascii="Arial" w:hAnsi="Arial" w:eastAsia="Noto Sans CJK SC"/>
          <w:b w:val="0"/>
          <w:color w:val="000000"/>
          <w:lang w:val="zh-CN" w:eastAsia="zh-CN"/>
        </w:rPr>
        <w:t>入口与会话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691"/>
        <w:gridCol w:w="1944"/>
        <w:gridCol w:w="7301"/>
      </w:tblGrid>
      <w:tr>
        <w:trPr>
          <w:cantSplit/>
          <w:tblHeader/>
        </w:trPr>
        <w:tc>
          <w:tcPr>
            <w:tcW w:type="dxa" w:w="691"/>
            <w:vAlign w:val="center"/>
            <w:shd w:fill="E7EDF2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编号</w:t>
            </w:r>
          </w:p>
        </w:tc>
        <w:tc>
          <w:tcPr>
            <w:tcW w:type="dxa" w:w="1944"/>
            <w:vAlign w:val="center"/>
            <w:shd w:fill="E7EDF2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模块</w:t>
            </w:r>
          </w:p>
        </w:tc>
        <w:tc>
          <w:tcPr>
            <w:tcW w:type="dxa" w:w="7301"/>
            <w:vAlign w:val="center"/>
            <w:shd w:fill="E7EDF2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包含内容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M01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主界面 重做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承接主要玩法和管理模块的入口。现有排列不作为设计限制。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账号与身份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登录、注册、退出；在线账号与离线身份、提交和错误反馈。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M03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全局导航与资源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模块切换、当前角色、月尘等资源、会话和连接状态。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M04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在线小队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创建或加入、队伍码、1–4 人名单、队长、准备、合作或好友对抗；可选公共匹配。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M05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LAN 作战室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浏览、创建、直连、房间与成员名单、房主权限、准备和出发。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M06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连接与加载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高级连接设置、等待地图空位、加载、连接、错误重试、原战局重连。</w:t>
            </w:r>
          </w:p>
        </w:tc>
      </w:tr>
    </w:tbl>
    <w:p>
      <w:pPr>
        <w:spacing w:after="20" w:before="0" w:line="96" w:lineRule="auto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Noto Sans CJK SC"/>
          <w:b w:val="0"/>
          <w:color w:val="000000"/>
          <w:lang w:val="zh-CN" w:eastAsia="zh-CN"/>
        </w:rPr>
        <w:t>出发准备的五类信息</w:t>
      </w:r>
    </w:p>
    <w:p>
      <w:r>
        <w:rPr>
          <w:rFonts w:ascii="Arial" w:hAnsi="Arial" w:eastAsia="Noto Sans CJK SC"/>
          <w:b w:val="0"/>
          <w:color w:val="000000"/>
          <w:lang w:val="zh-CN" w:eastAsia="zh-CN"/>
        </w:rPr>
        <w:t>以下是当前流程包含的信息。新设计可以合并或拆分页面，不必沿用五步布局。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691"/>
        <w:gridCol w:w="1944"/>
        <w:gridCol w:w="7301"/>
      </w:tblGrid>
      <w:tr>
        <w:trPr>
          <w:cantSplit/>
          <w:tblHeader/>
        </w:trPr>
        <w:tc>
          <w:tcPr>
            <w:tcW w:type="dxa" w:w="691"/>
            <w:vAlign w:val="center"/>
            <w:shd w:fill="E7EDF2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编号</w:t>
            </w:r>
          </w:p>
        </w:tc>
        <w:tc>
          <w:tcPr>
            <w:tcW w:type="dxa" w:w="1944"/>
            <w:vAlign w:val="center"/>
            <w:shd w:fill="E7EDF2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模块</w:t>
            </w:r>
          </w:p>
        </w:tc>
        <w:tc>
          <w:tcPr>
            <w:tcW w:type="dxa" w:w="7301"/>
            <w:vAlign w:val="center"/>
            <w:shd w:fill="E7EDF2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包含内容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M22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角色与装备检查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DollSinger、Hatsune Miku、Shian 三角色；真实装备、空槽与缺失数据。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M23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地点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当前可用地点、区域与任务背景；未开放地点的状态。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M24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简报与携带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搜集、生存、撤离目标；实际携带电池数量和上限。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M25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风险与回收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死亡损失说明；出发保险目前未开放。与保险箱和待领取区是不同机制。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M26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最终确认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角色、地点、模式、装备、携带量汇总；提交、等待、返回修改。</w:t>
            </w:r>
          </w:p>
        </w:tc>
      </w:tr>
    </w:tbl>
    <w:p>
      <w:pPr>
        <w:spacing w:after="20" w:before="0" w:line="96" w:lineRule="auto"/>
      </w:pPr>
      <w:r>
        <w:rPr>
          <w:sz w:val="4"/>
        </w:rPr>
      </w:r>
    </w:p>
    <w:p>
      <w:r>
        <w:rPr>
          <w:rFonts w:ascii="Arial" w:hAnsi="Arial" w:eastAsia="Noto Sans CJK SC"/>
          <w:b w:val="0"/>
          <w:color w:val="000000"/>
          <w:lang w:val="zh-CN" w:eastAsia="zh-CN"/>
        </w:rPr>
        <w:t>关系：主界面可进入管理或出发准备。准备过程可返回装备。在线合作可单人开始；好友对抗需满足分队条件。LAN 人数由模式配置决定，不套用在线小队的四人上限。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 w:val="0"/>
          <w:color w:val="000000"/>
          <w:lang w:val="zh-CN" w:eastAsia="zh-CN"/>
        </w:rPr>
        <w:t>装备物品与光环层级</w:t>
      </w:r>
    </w:p>
    <w:p>
      <w:pPr>
        <w:pStyle w:val="Heading2"/>
      </w:pPr>
      <w:r>
        <w:rPr>
          <w:rFonts w:ascii="Arial" w:hAnsi="Arial" w:eastAsia="Noto Sans CJK SC"/>
          <w:b w:val="0"/>
          <w:color w:val="000000"/>
          <w:lang w:val="zh-CN" w:eastAsia="zh-CN"/>
        </w:rPr>
        <w:t>装备与存储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691"/>
        <w:gridCol w:w="1944"/>
        <w:gridCol w:w="7301"/>
      </w:tblGrid>
      <w:tr>
        <w:trPr>
          <w:cantSplit/>
          <w:tblHeader/>
        </w:trPr>
        <w:tc>
          <w:tcPr>
            <w:tcW w:type="dxa" w:w="691"/>
            <w:vAlign w:val="center"/>
            <w:shd w:fill="E7EDF2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编号</w:t>
            </w:r>
          </w:p>
        </w:tc>
        <w:tc>
          <w:tcPr>
            <w:tcW w:type="dxa" w:w="1944"/>
            <w:vAlign w:val="center"/>
            <w:shd w:fill="E7EDF2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模块</w:t>
            </w:r>
          </w:p>
        </w:tc>
        <w:tc>
          <w:tcPr>
            <w:tcW w:type="dxa" w:w="7301"/>
            <w:vAlign w:val="center"/>
            <w:shd w:fill="E7EDF2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包含内容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M07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身体装备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项圈、护盾、主武器、副武器、手枪、近战六槽；角色身份和装备状态。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M08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随身容器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衣兜、胸挂、背包；容器入口、实际内容和未装备状态。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M09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个人仓库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仓库物品、容量、负重、滚动、满仓、加载和战局锁定。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M11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物品与容器操作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物品检查、右键菜单、拆分、拖放、旋转、快捷转移和容器窗口。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M12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个人保险箱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专用槽与 2×2 内部空间；放入限制、满格和保护规则。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M13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特殊工具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三个专用槽、指南针和测距仪；局内方位或距离读数及无效读数。</w:t>
            </w:r>
          </w:p>
        </w:tc>
      </w:tr>
    </w:tbl>
    <w:p>
      <w:pPr>
        <w:spacing w:after="20" w:before="0" w:line="96" w:lineRule="auto"/>
      </w:pPr>
      <w:r>
        <w:rPr>
          <w:sz w:val="4"/>
        </w:rPr>
      </w:r>
    </w:p>
    <w:p>
      <w:r>
        <w:rPr>
          <w:rFonts w:ascii="Arial" w:hAnsi="Arial" w:eastAsia="Noto Sans CJK SC"/>
          <w:b w:val="0"/>
          <w:color w:val="000000"/>
          <w:lang w:val="zh-CN" w:eastAsia="zh-CN"/>
        </w:rPr>
        <w:t>装备层级：六个身体槽，加胸挂与背包两槽，再加保险箱一槽和工具三槽，共十二个装备目标。衣兜是固定存储，不计为装备槽。物品可以包含子容器，不能只按一层列表理解。</w:t>
      </w:r>
    </w:p>
    <w:p>
      <w:r>
        <w:rPr>
          <w:rFonts w:ascii="Arial" w:hAnsi="Arial" w:eastAsia="Noto Sans CJK SC"/>
          <w:b w:val="0"/>
          <w:color w:val="000000"/>
          <w:lang w:val="zh-CN" w:eastAsia="zh-CN"/>
        </w:rPr>
        <w:t>保险箱只有装备在专用槽中才保护箱体和内容。专用槽中的工具也有失败保留规则。保护返还不等于成功撤离，也不授予任务首次成果。</w:t>
      </w:r>
    </w:p>
    <w:p>
      <w:pPr>
        <w:pStyle w:val="Heading2"/>
      </w:pPr>
      <w:r>
        <w:rPr>
          <w:rFonts w:ascii="Arial" w:hAnsi="Arial" w:eastAsia="Noto Sans CJK SC"/>
          <w:b w:val="0"/>
          <w:color w:val="000000"/>
          <w:lang w:val="zh-CN" w:eastAsia="zh-CN"/>
        </w:rPr>
        <w:t>光环武器与模块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691"/>
        <w:gridCol w:w="1944"/>
        <w:gridCol w:w="7301"/>
      </w:tblGrid>
      <w:tr>
        <w:trPr>
          <w:cantSplit/>
          <w:tblHeader/>
        </w:trPr>
        <w:tc>
          <w:tcPr>
            <w:tcW w:type="dxa" w:w="691"/>
            <w:vAlign w:val="center"/>
            <w:shd w:fill="E7EDF2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编号</w:t>
            </w:r>
          </w:p>
        </w:tc>
        <w:tc>
          <w:tcPr>
            <w:tcW w:type="dxa" w:w="1944"/>
            <w:vAlign w:val="center"/>
            <w:shd w:fill="E7EDF2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模块</w:t>
            </w:r>
          </w:p>
        </w:tc>
        <w:tc>
          <w:tcPr>
            <w:tcW w:type="dxa" w:w="7301"/>
            <w:vAlign w:val="center"/>
            <w:shd w:fill="E7EDF2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包含内容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M14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光环总览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武器身份、结构与模块说明。当前说明图不代表玩家实时构筑。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M15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光环实体改装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选真实武器；储能、整形、功能三槽；兼容、安装、替换、拆卸与参数比较。</w:t>
            </w:r>
          </w:p>
        </w:tc>
      </w:tr>
    </w:tbl>
    <w:p>
      <w:pPr>
        <w:spacing w:after="20" w:before="0" w:line="96" w:lineRule="auto"/>
      </w:pPr>
      <w:r>
        <w:rPr>
          <w:sz w:val="4"/>
        </w:rPr>
      </w:r>
    </w:p>
    <w:p>
      <w:r>
        <w:rPr>
          <w:rFonts w:ascii="Arial" w:hAnsi="Arial" w:eastAsia="Noto Sans CJK SC"/>
          <w:b w:val="0"/>
          <w:color w:val="000000"/>
          <w:lang w:val="zh-CN" w:eastAsia="zh-CN"/>
        </w:rPr>
        <w:t>当前有十三种独立光环外观、十四个库存代码；compact 共用 rifle 外观。原六种模块加月核回流器，共七种。实体改装兼容步枪、紧凑步枪和霰弹光环；基地可拆装，局内只读。</w:t>
      </w:r>
    </w:p>
    <w:p>
      <w:r>
        <w:rPr>
          <w:rFonts w:ascii="Arial" w:hAnsi="Arial" w:eastAsia="Noto Sans CJK SC"/>
          <w:b w:val="0"/>
          <w:color w:val="000000"/>
          <w:lang w:val="zh-CN" w:eastAsia="zh-CN"/>
        </w:rPr>
        <w:t>同一套装备与物品能力会被仓库、出发检查、局内背包和搜刮复用。角色画像需对应真实身份；未知尸体不能使用自己的角色画像。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 w:val="0"/>
          <w:color w:val="000000"/>
          <w:lang w:val="zh-CN" w:eastAsia="zh-CN"/>
        </w:rPr>
        <w:t>交易成长与基地辅助</w:t>
      </w:r>
    </w:p>
    <w:p>
      <w:pPr>
        <w:pStyle w:val="Heading2"/>
      </w:pPr>
      <w:r>
        <w:rPr>
          <w:rFonts w:ascii="Arial" w:hAnsi="Arial" w:eastAsia="Noto Sans CJK SC"/>
          <w:b w:val="0"/>
          <w:color w:val="000000"/>
          <w:lang w:val="zh-CN" w:eastAsia="zh-CN"/>
        </w:rPr>
        <w:t>经济与成长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691"/>
        <w:gridCol w:w="1944"/>
        <w:gridCol w:w="7301"/>
      </w:tblGrid>
      <w:tr>
        <w:trPr>
          <w:cantSplit/>
          <w:tblHeader/>
        </w:trPr>
        <w:tc>
          <w:tcPr>
            <w:tcW w:type="dxa" w:w="691"/>
            <w:vAlign w:val="center"/>
            <w:shd w:fill="E7EDF2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编号</w:t>
            </w:r>
          </w:p>
        </w:tc>
        <w:tc>
          <w:tcPr>
            <w:tcW w:type="dxa" w:w="1944"/>
            <w:vAlign w:val="center"/>
            <w:shd w:fill="E7EDF2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模块</w:t>
            </w:r>
          </w:p>
        </w:tc>
        <w:tc>
          <w:tcPr>
            <w:tcW w:type="dxa" w:w="7301"/>
            <w:vAlign w:val="center"/>
            <w:shd w:fill="E7EDF2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包含内容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M16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供应商目录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供应商身份、经营内容，以及交易、研究和制造入口。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M17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购买与出售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商品、用途、数量、价格、余额、容量、可售条件和交易结果。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M18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应急补给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补给内容、领取条件和结果。无剩余光环武器时可按当前规则再次领取。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M19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研究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月核与生物研究分区；选项、作用、材料已有或缺口、永久解锁。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M20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模块制造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配方、消耗、产物、可制造条件、空间不足、已持有和已安装数量。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M21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任务与成长记录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任务说明、追踪、调查成果和成长入口；无事件、未带回与已保存。</w:t>
            </w:r>
          </w:p>
        </w:tc>
      </w:tr>
    </w:tbl>
    <w:p>
      <w:pPr>
        <w:spacing w:after="20" w:before="0" w:line="96" w:lineRule="auto"/>
      </w:pPr>
      <w:r>
        <w:rPr>
          <w:sz w:val="4"/>
        </w:rPr>
      </w:r>
    </w:p>
    <w:p>
      <w:r>
        <w:rPr>
          <w:rFonts w:ascii="Arial" w:hAnsi="Arial" w:eastAsia="Noto Sans CJK SC"/>
          <w:b w:val="0"/>
          <w:color w:val="000000"/>
          <w:lang w:val="zh-CN" w:eastAsia="zh-CN"/>
        </w:rPr>
        <w:t>成长关系：局内产物成功带回并保存后，可用于研究或交易。月核研究永久解锁知识；制造消耗材料生成实体模块；安装是单独操作。研究、制造、安装不能合成一个虚构的免费升级机制。</w:t>
      </w:r>
    </w:p>
    <w:p>
      <w:r>
        <w:rPr>
          <w:rFonts w:ascii="Arial" w:hAnsi="Arial" w:eastAsia="Noto Sans CJK SC"/>
          <w:b w:val="0"/>
          <w:color w:val="000000"/>
          <w:lang w:val="zh-CN" w:eastAsia="zh-CN"/>
        </w:rPr>
        <w:t>任务在局内随机出现，无需先接取。追踪只改变显示。带在身上不等于已经保存；首次带回成果要等成功撤离和保存确认。</w:t>
      </w:r>
    </w:p>
    <w:p>
      <w:pPr>
        <w:pStyle w:val="Heading2"/>
      </w:pPr>
      <w:r>
        <w:rPr>
          <w:rFonts w:ascii="Arial" w:hAnsi="Arial" w:eastAsia="Noto Sans CJK SC"/>
          <w:b w:val="0"/>
          <w:color w:val="000000"/>
          <w:lang w:val="zh-CN" w:eastAsia="zh-CN"/>
        </w:rPr>
        <w:t>基地辅助模块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691"/>
        <w:gridCol w:w="1944"/>
        <w:gridCol w:w="7301"/>
      </w:tblGrid>
      <w:tr>
        <w:trPr>
          <w:cantSplit/>
          <w:tblHeader/>
        </w:trPr>
        <w:tc>
          <w:tcPr>
            <w:tcW w:type="dxa" w:w="691"/>
            <w:vAlign w:val="center"/>
            <w:shd w:fill="E7EDF2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编号</w:t>
            </w:r>
          </w:p>
        </w:tc>
        <w:tc>
          <w:tcPr>
            <w:tcW w:type="dxa" w:w="1944"/>
            <w:vAlign w:val="center"/>
            <w:shd w:fill="E7EDF2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模块</w:t>
            </w:r>
          </w:p>
        </w:tc>
        <w:tc>
          <w:tcPr>
            <w:tcW w:type="dxa" w:w="7301"/>
            <w:vAlign w:val="center"/>
            <w:shd w:fill="E7EDF2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包含内容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M48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基地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已有资源与仓库入口；建设、工坊、医疗舱、反应堆升级目前未开放。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M49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通讯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联系人、频道和无消息内容；当前没有正式聊天或邮件服务。</w:t>
            </w:r>
          </w:p>
        </w:tc>
      </w:tr>
    </w:tbl>
    <w:p>
      <w:pPr>
        <w:spacing w:after="20" w:before="0" w:line="96" w:lineRule="auto"/>
      </w:pPr>
      <w:r>
        <w:rPr>
          <w:sz w:val="4"/>
        </w:rPr>
      </w:r>
    </w:p>
    <w:p>
      <w:r>
        <w:rPr>
          <w:rFonts w:ascii="Arial" w:hAnsi="Arial" w:eastAsia="Noto Sans CJK SC"/>
          <w:b w:val="0"/>
          <w:color w:val="000000"/>
          <w:lang w:val="zh-CN" w:eastAsia="zh-CN"/>
        </w:rPr>
        <w:t>未开放模块需要在整体层级中有对应。它们可以被收进次级入口，但不能被描述为已经能建设、聊天、收邮件或购买保险。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 w:val="0"/>
          <w:color w:val="000000"/>
          <w:lang w:val="zh-CN" w:eastAsia="zh-CN"/>
        </w:rPr>
        <w:t>战局内通用模块</w:t>
      </w:r>
    </w:p>
    <w:p>
      <w:r>
        <w:rPr>
          <w:rFonts w:ascii="Arial" w:hAnsi="Arial" w:eastAsia="Noto Sans CJK SC"/>
          <w:b w:val="0"/>
          <w:color w:val="000000"/>
          <w:lang w:val="zh-CN" w:eastAsia="zh-CN"/>
        </w:rPr>
        <w:t>以下能力由远征与适用的赏金流程复用。不同玩法可以显示不同信息，但共用模块不用重复发明一套规则。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691"/>
        <w:gridCol w:w="1944"/>
        <w:gridCol w:w="7301"/>
      </w:tblGrid>
      <w:tr>
        <w:trPr>
          <w:cantSplit/>
          <w:tblHeader/>
        </w:trPr>
        <w:tc>
          <w:tcPr>
            <w:tcW w:type="dxa" w:w="691"/>
            <w:vAlign w:val="center"/>
            <w:shd w:fill="E7EDF2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编号</w:t>
            </w:r>
          </w:p>
        </w:tc>
        <w:tc>
          <w:tcPr>
            <w:tcW w:type="dxa" w:w="1944"/>
            <w:vAlign w:val="center"/>
            <w:shd w:fill="E7EDF2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模块</w:t>
            </w:r>
          </w:p>
        </w:tc>
        <w:tc>
          <w:tcPr>
            <w:tcW w:type="dxa" w:w="7301"/>
            <w:vAlign w:val="center"/>
            <w:shd w:fill="E7EDF2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包含内容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M10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搜刮与尸体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物资箱、尸体、地面包、任务输出；搜索、空内容、对方装备、容器与物品被他人取走后的状态。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M27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基础战斗 HUD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生命、弹药或充能、当前武器、时间与必要战斗信息。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M28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七部位健康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头、胸、腹、双臂、双腿；部位伤情、选中部位、医疗和治疗过程。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M29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生存与护盾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氧气和剩余时间、营养能量、饮水、胃容量；护盾量、供能、恢复、破盾与异常状态。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M30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快捷栏与耗时动作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1–9 绑定、选中、左键使用；可用性、数量、进度、取消、中断和等待确认。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M31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世界交互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拾取、搜索、气闸、开关、设备；目标、按键、操作进度与不能操作的原因。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M32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光环灯光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灯光开关与参数调节。与武器实体模块改装是不同功能。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M33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 战术地图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真实卫星底图、位置朝向、导航点、撤离、地名、补给图层、详情、缩放和平移。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M34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局内事件与 J 详情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追踪、步骤、区域或楼层、距离、设备节点、前置条件、占用、产物与进度。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M35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撤离过程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撤离条件、区域、倒计时、受阻、离开和中断；按当前玩法判定。</w:t>
            </w:r>
          </w:p>
        </w:tc>
      </w:tr>
    </w:tbl>
    <w:p>
      <w:pPr>
        <w:spacing w:after="20" w:before="0" w:line="96" w:lineRule="auto"/>
      </w:pPr>
      <w:r>
        <w:rPr>
          <w:sz w:val="4"/>
        </w:rPr>
      </w:r>
    </w:p>
    <w:p>
      <w:r>
        <w:rPr>
          <w:rFonts w:ascii="Arial" w:hAnsi="Arial" w:eastAsia="Noto Sans CJK SC"/>
          <w:b w:val="0"/>
          <w:color w:val="000000"/>
          <w:lang w:val="zh-CN" w:eastAsia="zh-CN"/>
        </w:rPr>
        <w:t>相关层级：随身管理复用 M07 至 M13。特殊工具的 HUD 读数归 M13；地图归 M33，不再把旧常驻小地图作为独立新模块。任务详情归 M34，任务带回后的成长归 M21。</w:t>
      </w:r>
    </w:p>
    <w:p>
      <w:r>
        <w:rPr>
          <w:rFonts w:ascii="Arial" w:hAnsi="Arial" w:eastAsia="Noto Sans CJK SC"/>
          <w:b w:val="0"/>
          <w:color w:val="000000"/>
          <w:lang w:val="zh-CN" w:eastAsia="zh-CN"/>
        </w:rPr>
        <w:t>关键关系：数字键只选中，左键才使用。动作进度结束不等于服务器已确认成功。地图不提供精确敌方雷达，赏金敌情仅显示授权粗区域。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 w:val="0"/>
          <w:color w:val="000000"/>
          <w:lang w:val="zh-CN" w:eastAsia="zh-CN"/>
        </w:rPr>
        <w:t>赏金专用与结算返回</w:t>
      </w:r>
    </w:p>
    <w:p>
      <w:pPr>
        <w:pStyle w:val="Heading2"/>
      </w:pPr>
      <w:r>
        <w:rPr>
          <w:rFonts w:ascii="Arial" w:hAnsi="Arial" w:eastAsia="Noto Sans CJK SC"/>
          <w:b w:val="0"/>
          <w:color w:val="000000"/>
          <w:lang w:val="zh-CN" w:eastAsia="zh-CN"/>
        </w:rPr>
        <w:t>赏金专用模块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691"/>
        <w:gridCol w:w="1944"/>
        <w:gridCol w:w="7301"/>
      </w:tblGrid>
      <w:tr>
        <w:trPr>
          <w:cantSplit/>
          <w:tblHeader/>
        </w:trPr>
        <w:tc>
          <w:tcPr>
            <w:tcW w:type="dxa" w:w="691"/>
            <w:vAlign w:val="center"/>
            <w:shd w:fill="E7EDF2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编号</w:t>
            </w:r>
          </w:p>
        </w:tc>
        <w:tc>
          <w:tcPr>
            <w:tcW w:type="dxa" w:w="1944"/>
            <w:vAlign w:val="center"/>
            <w:shd w:fill="E7EDF2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模块</w:t>
            </w:r>
          </w:p>
        </w:tc>
        <w:tc>
          <w:tcPr>
            <w:tcW w:type="dxa" w:w="7301"/>
            <w:vAlign w:val="center"/>
            <w:shd w:fill="E7EDF2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包含内容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M40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模式与准备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单人或联机入口、集结、队伍和准备。单人不需要邀请码或离队操作。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M41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赏金战局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阶段、目标、放逐进度、赏金地面或携带归属、出口和越界。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M42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暗视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预算、使用中、耗尽和授权模糊存在感；不提供精确敌方轮廓。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M43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小队与救援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队友状态、倒地、救援进度、取消、受阻和本人状态。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M44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赏金结算与下一局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玩法结果、保存、返回准备区和下一局资格。共用下方结算能力。</w:t>
            </w:r>
          </w:p>
        </w:tc>
      </w:tr>
    </w:tbl>
    <w:p>
      <w:pPr>
        <w:spacing w:after="20" w:before="0" w:line="96" w:lineRule="auto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Noto Sans CJK SC"/>
          <w:b w:val="0"/>
          <w:color w:val="000000"/>
          <w:lang w:val="zh-CN" w:eastAsia="zh-CN"/>
        </w:rPr>
        <w:t>各玩法共用的结算层级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691"/>
        <w:gridCol w:w="1944"/>
        <w:gridCol w:w="7301"/>
      </w:tblGrid>
      <w:tr>
        <w:trPr>
          <w:cantSplit/>
          <w:tblHeader/>
        </w:trPr>
        <w:tc>
          <w:tcPr>
            <w:tcW w:type="dxa" w:w="691"/>
            <w:vAlign w:val="center"/>
            <w:shd w:fill="E7EDF2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编号</w:t>
            </w:r>
          </w:p>
        </w:tc>
        <w:tc>
          <w:tcPr>
            <w:tcW w:type="dxa" w:w="1944"/>
            <w:vAlign w:val="center"/>
            <w:shd w:fill="E7EDF2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模块</w:t>
            </w:r>
          </w:p>
        </w:tc>
        <w:tc>
          <w:tcPr>
            <w:tcW w:type="dxa" w:w="7301"/>
            <w:vAlign w:val="center"/>
            <w:shd w:fill="E7EDF2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包含内容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M36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行动结果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成功撤离、死亡或超时；原因、收益摘要和后续入口。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M37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物资明细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带出物、完整容器树和失败后的保护返还。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M38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保存入库与再出发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保存中、失败重试、确认完成、入库结果和再次出发资格。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M39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待领取区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未能入库的物品、单项或全部可领取、空间不足、部分成功和出发限制。</w:t>
            </w:r>
          </w:p>
        </w:tc>
      </w:tr>
    </w:tbl>
    <w:p>
      <w:pPr>
        <w:spacing w:after="20" w:before="0" w:line="96" w:lineRule="auto"/>
      </w:pPr>
      <w:r>
        <w:rPr>
          <w:sz w:val="4"/>
        </w:rPr>
      </w:r>
    </w:p>
    <w:p>
      <w:r>
        <w:rPr>
          <w:rFonts w:ascii="Arial" w:hAnsi="Arial" w:eastAsia="Noto Sans CJK SC"/>
          <w:b w:val="0"/>
          <w:color w:val="000000"/>
          <w:lang w:val="zh-CN" w:eastAsia="zh-CN"/>
        </w:rPr>
        <w:t>功能关系：撤离或失败后先有行动结果，再确认物资去向与保存。页面可以合并，但这几个信息层不能丢。保存确认前不得表示可以安全再出发。</w:t>
      </w:r>
    </w:p>
    <w:p>
      <w:r>
        <w:rPr>
          <w:rFonts w:ascii="Arial" w:hAnsi="Arial" w:eastAsia="Noto Sans CJK SC"/>
          <w:b w:val="0"/>
          <w:color w:val="000000"/>
          <w:lang w:val="zh-CN" w:eastAsia="zh-CN"/>
        </w:rPr>
        <w:t>待领取区从仓库等管理入口访问。个人保险箱 M12、出发保险 M25 和待领取 M39 三者不同。死亡保护不代表成功撤离，也不授予赏金或任务首次成果。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 w:val="0"/>
          <w:color w:val="000000"/>
          <w:lang w:val="zh-CN" w:eastAsia="zh-CN"/>
        </w:rPr>
        <w:t>系统边界与模块核对</w:t>
      </w:r>
    </w:p>
    <w:p>
      <w:pPr>
        <w:pStyle w:val="Heading2"/>
      </w:pPr>
      <w:r>
        <w:rPr>
          <w:rFonts w:ascii="Arial" w:hAnsi="Arial" w:eastAsia="Noto Sans CJK SC"/>
          <w:b w:val="0"/>
          <w:color w:val="000000"/>
          <w:lang w:val="zh-CN" w:eastAsia="zh-CN"/>
        </w:rPr>
        <w:t>系统辅助模块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691"/>
        <w:gridCol w:w="1944"/>
        <w:gridCol w:w="7301"/>
      </w:tblGrid>
      <w:tr>
        <w:trPr>
          <w:cantSplit/>
          <w:tblHeader/>
        </w:trPr>
        <w:tc>
          <w:tcPr>
            <w:tcW w:type="dxa" w:w="691"/>
            <w:vAlign w:val="center"/>
            <w:shd w:fill="E7EDF2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编号</w:t>
            </w:r>
          </w:p>
        </w:tc>
        <w:tc>
          <w:tcPr>
            <w:tcW w:type="dxa" w:w="1944"/>
            <w:vAlign w:val="center"/>
            <w:shd w:fill="E7EDF2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模块</w:t>
            </w:r>
          </w:p>
        </w:tc>
        <w:tc>
          <w:tcPr>
            <w:tcW w:type="dxa" w:w="7301"/>
            <w:vAlign w:val="center"/>
            <w:shd w:fill="E7EDF2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/>
                <w:color w:val="000000"/>
                <w:sz w:val="21"/>
                <w:lang w:val="zh-CN" w:eastAsia="zh-CN"/>
              </w:rPr>
              <w:t>包含内容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M45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设置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音量、显示、语言与已有 HUD 设置；当前值、应用和返回。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M46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局内菜单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继续、返回主界面和退出等实际操作。打开菜单不表示在线战局暂停。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M47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死亡呈现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真实可用的死因或状态，以及结算入口。不增加无规则支持的复活选项。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M50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战斗提示与行动播报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命中或击杀确认、加入或击杀等行动信息。属于 HUD 或共用提示层，不要求独立页面。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M51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开发工具 范围外</w:t>
            </w:r>
          </w:p>
        </w:tc>
        <w:tc>
          <w:tcPr>
            <w:tcW w:type="dxa" w:w="7301"/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/>
                <w:b w:val="0"/>
                <w:color w:val="000000"/>
                <w:sz w:val="21"/>
                <w:lang w:val="zh-CN" w:eastAsia="zh-CN"/>
              </w:rPr>
              <w:t>诊断、LOCAL REVIEW、旧模板排行榜、UI 预览和动作实验室，不计为正式玩家模块。</w:t>
            </w:r>
          </w:p>
        </w:tc>
      </w:tr>
    </w:tbl>
    <w:p>
      <w:pPr>
        <w:spacing w:after="20" w:before="0" w:line="96" w:lineRule="auto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Noto Sans CJK SC"/>
          <w:b w:val="0"/>
          <w:color w:val="000000"/>
          <w:lang w:val="zh-CN" w:eastAsia="zh-CN"/>
        </w:rPr>
        <w:t>如何核对新方案是否完整</w:t>
      </w:r>
    </w:p>
    <w:p>
      <w:r>
        <w:rPr>
          <w:rFonts w:ascii="Arial" w:hAnsi="Arial" w:eastAsia="Noto Sans CJK SC"/>
          <w:b w:val="0"/>
          <w:color w:val="000000"/>
          <w:lang w:val="zh-CN" w:eastAsia="zh-CN"/>
        </w:rPr>
        <w:t>每张设计稿标出它承载的 M 编号；另留一份“模块编号 → 设计稿或页面区域”的对照。M01 至 M50 每项都应能找到对应。共享模块只需一个明确实现，不必为了凑数量重复做页面。</w:t>
      </w:r>
    </w:p>
    <w:p>
      <w:r>
        <w:rPr>
          <w:rFonts w:ascii="Arial" w:hAnsi="Arial" w:eastAsia="Noto Sans CJK SC"/>
          <w:b w:val="0"/>
          <w:color w:val="000000"/>
          <w:lang w:val="zh-CN" w:eastAsia="zh-CN"/>
        </w:rPr>
        <w:t>核对重点是功能是否能找到、子模块是否齐全、共享关系是否清楚。风格、构图、布局、动效和页面数量交由美术方案决定。本案不要求保留现有导航、三栏库存或五步出发。</w:t>
      </w:r>
    </w:p>
    <w:p>
      <w:r>
        <w:rPr>
          <w:rFonts w:ascii="Arial" w:hAnsi="Arial" w:eastAsia="Noto Sans CJK SC"/>
          <w:b w:val="0"/>
          <w:color w:val="000000"/>
          <w:lang w:val="zh-CN" w:eastAsia="zh-CN"/>
        </w:rPr>
        <w:t>未开放的基地、通讯和出发保险仍有对应模块。它们应表达当前边界，不能被当成已经有完整业务的新系统。其他模块的“有代码实现”也不等于已经完成当前实机验收。</w:t>
      </w:r>
    </w:p>
    <w:p>
      <w:pPr>
        <w:pStyle w:val="Heading2"/>
      </w:pPr>
      <w:r>
        <w:rPr>
          <w:rFonts w:ascii="Arial" w:hAnsi="Arial" w:eastAsia="Noto Sans CJK SC"/>
          <w:b w:val="0"/>
          <w:color w:val="000000"/>
          <w:lang w:val="zh-CN" w:eastAsia="zh-CN"/>
        </w:rPr>
        <w:t>资料依据</w:t>
      </w:r>
    </w:p>
    <w:p>
      <w:r>
        <w:rPr>
          <w:rFonts w:ascii="Arial" w:hAnsi="Arial" w:eastAsia="Noto Sans CJK SC"/>
          <w:b w:val="0"/>
          <w:color w:val="000000"/>
          <w:lang w:val="zh-CN" w:eastAsia="zh-CN"/>
        </w:rPr>
        <w:t>本案按截至 2026年10月25日 的 develop 11c245a3 和项目交接资料整理。历史截图只作背景参考；功能描述冲突时以当前实现为准。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152" w:bottom="893" w:left="115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Noto Sans CJK SC"/>
        <w:color w:val="000000"/>
        <w:sz w:val="18"/>
        <w:lang w:val="zh-CN" w:eastAsia="zh-CN"/>
      </w:rPr>
      <w:t xml:space="preserve">2026-10-25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Noto Sans CJK SC"/>
        <w:color w:val="000000"/>
        <w:sz w:val="18"/>
        <w:lang w:val="zh-CN" w:eastAsia="zh-CN"/>
      </w:rPr>
      <w:t>MOONKOV  /  UI MODULES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40"/>
    </w:pPr>
    <w:rPr>
      <w:rFonts w:ascii="Arial" w:hAnsi="Arial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20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2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Moonkov UI 模块与层级策划案</dc:title>
  <dc:subject>Functional modules and hierarchy for UI art planning</dc:subject>
  <dc:creator>Moonkov</dc:creator>
  <cp:keywords>Moonkov UI modules hierarchy art brief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