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  <w:jc w:val="center"/>
      </w:pPr>
      <w:r>
        <w:rPr>
          <w:b/>
          <w:bCs/>
          <w:sz w:val="36"/>
          <w:szCs w:val="36"/>
        </w:rPr>
        <w:t xml:space="preserve">商品数据与运营自动化 WorkBuddy 用户手册</w:t>
      </w:r>
    </w:p>
    <w:p>
      <w:pPr>
        <w:spacing w:after="360"/>
        <w:jc w:val="center"/>
      </w:pPr>
      <w:r>
        <w:rPr>
          <w:color w:val="666666"/>
        </w:rPr>
        <w:t xml:space="preserve">版本：2026-09-27　适用时区：Asia/Shanghai（UTC+8）</w:t>
      </w:r>
    </w:p>
    <w:p>
      <w:pPr>
        <w:spacing w:after="120"/>
      </w:pPr>
      <w:r>
        <w:t xml:space="preserve">本文档给出周报、店铺数据日报、商品数据日报三套流程的 WorkBuddy 提示词、触发时间、依赖关系、验收标准和人工接管方式。WorkBuddy 是唯一外部调度器；不要同时注册 Windows 任务或启动多个并发任务。</w:t>
      </w:r>
    </w:p>
    <w:p>
      <w:pPr>
        <w:pStyle w:val="Heading1"/>
      </w:pPr>
      <w:r>
        <w:t xml:space="preserve">一、统一运行规则</w:t>
      </w:r>
    </w:p>
    <w:p>
      <w:pPr>
        <w:pStyle w:val="ListParagraph"/>
        <w:numPr>
          <w:ilvl w:val="0"/>
          <w:numId w:val="2"/>
        </w:numPr>
      </w:pPr>
      <w:r>
        <w:t xml:space="preserve">工作目录固定为 D:\Retire\sycm-automation；只调用本文档指定的入口。</w:t>
      </w:r>
    </w:p>
    <w:p>
      <w:pPr>
        <w:pStyle w:val="ListParagraph"/>
        <w:numPr>
          <w:ilvl w:val="0"/>
          <w:numId w:val="2"/>
        </w:numPr>
      </w:pPr>
      <w:r>
        <w:t xml:space="preserve">三套流程共用商家浏览器、代理和飞书写入资源，必须遵守全局运行锁。锁冲突时退出并报告当前持有者，不得覆盖。</w:t>
      </w:r>
    </w:p>
    <w:p>
      <w:pPr>
        <w:pStyle w:val="ListParagraph"/>
        <w:numPr>
          <w:ilvl w:val="0"/>
          <w:numId w:val="2"/>
        </w:numPr>
      </w:pPr>
      <w:r>
        <w:t xml:space="preserve">登录、验证码、风控、权限和页面改版属于人工闸门；不得绕过平台控制。</w:t>
      </w:r>
    </w:p>
    <w:p>
      <w:pPr>
        <w:pStyle w:val="ListParagraph"/>
        <w:numPr>
          <w:ilvl w:val="0"/>
          <w:numId w:val="2"/>
        </w:numPr>
      </w:pPr>
      <w:r>
        <w:t xml:space="preserve">每次运行必须保留 evidence 收据；成功报告目标日期、阶段、源行数、新增数、重复数、回读结果和释放状态。</w:t>
      </w:r>
    </w:p>
    <w:p>
      <w:pPr>
        <w:pStyle w:val="ListParagraph"/>
        <w:numPr>
          <w:ilvl w:val="0"/>
          <w:numId w:val="2"/>
        </w:numPr>
      </w:pPr>
      <w:r>
        <w:t xml:space="preserve">任何阶段失败都不能假报完成。finally 必须释放浏览器并完成两次端口回读。</w:t>
      </w:r>
    </w:p>
    <w:p>
      <w:pPr>
        <w:pStyle w:val="Heading1"/>
      </w:pPr>
      <w:r>
        <w:t xml:space="preserve">二、时间表与依赖</w:t>
      </w:r>
    </w:p>
    <w:tbl>
      <w:tblPr>
        <w:tblW w:type="dxa" w:w="9360"/>
        <w:tblBorders>
          <w:top w:val="single" w:color="D9E1F2" w:sz="1"/>
          <w:left w:val="single" w:color="D9E1F2" w:sz="1"/>
          <w:bottom w:val="single" w:color="D9E1F2" w:sz="1"/>
          <w:right w:val="single" w:color="D9E1F2" w:sz="1"/>
          <w:insideH w:val="single" w:color="D9E1F2" w:sz="1"/>
          <w:insideV w:val="single" w:color="D9E1F2" w:sz="1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EAF2F8" w:val="clear"/>
          </w:tcPr>
          <w:p>
            <w:r>
              <w:rPr>
                <w:b/>
                <w:bCs/>
              </w:rPr>
              <w:t xml:space="preserve">时间（UTC+8）</w:t>
            </w:r>
          </w:p>
        </w:tc>
        <w:tc>
          <w:tcPr>
            <w:tcW w:type="dxa" w:w="3120"/>
            <w:shd w:fill="EAF2F8" w:val="clear"/>
          </w:tcPr>
          <w:p>
            <w:r>
              <w:rPr>
                <w:b/>
                <w:bCs/>
              </w:rPr>
              <w:t xml:space="preserve">流程</w:t>
            </w:r>
          </w:p>
        </w:tc>
        <w:tc>
          <w:tcPr>
            <w:tcW w:type="dxa" w:w="3120"/>
            <w:shd w:fill="EAF2F8" w:val="clear"/>
          </w:tcPr>
          <w:p>
            <w:r>
              <w:rPr>
                <w:b/>
                <w:bCs/>
              </w:rPr>
              <w:t xml:space="preserve">依赖与说明</w:t>
            </w:r>
          </w:p>
        </w:tc>
      </w:tr>
      <w:tr>
        <w:tc>
          <w:tcPr>
            <w:tcW w:type="dxa" w:w="3120"/>
            <w:shd w:fill="FFFFFF" w:val="clear"/>
          </w:tcPr>
          <w:p>
            <w:r>
              <w:rPr>
                <w:b w:val="false"/>
                <w:bCs w:val="false"/>
              </w:rPr>
              <w:t xml:space="preserve">每日 15:30</w:t>
            </w:r>
          </w:p>
        </w:tc>
        <w:tc>
          <w:tcPr>
            <w:tcW w:type="dxa" w:w="3120"/>
            <w:shd w:fill="FFFFFF" w:val="clear"/>
          </w:tcPr>
          <w:p>
            <w:r>
              <w:rPr>
                <w:b w:val="false"/>
                <w:bCs w:val="false"/>
              </w:rPr>
              <w:t xml:space="preserve">店铺数据日报</w:t>
            </w:r>
          </w:p>
        </w:tc>
        <w:tc>
          <w:tcPr>
            <w:tcW w:type="dxa" w:w="3120"/>
            <w:shd w:fill="FFFFFF" w:val="clear"/>
          </w:tcPr>
          <w:p>
            <w:r>
              <w:rPr>
                <w:b w:val="false"/>
                <w:bCs w:val="false"/>
              </w:rPr>
              <w:t xml:space="preserve">五店并行；先完成登录预检，再采集日报并写入飞书。</w:t>
            </w:r>
          </w:p>
        </w:tc>
      </w:tr>
      <w:tr>
        <w:tc>
          <w:tcPr>
            <w:tcW w:type="dxa" w:w="3120"/>
            <w:shd w:fill="FFFFFF" w:val="clear"/>
          </w:tcPr>
          <w:p>
            <w:r>
              <w:rPr>
                <w:b w:val="false"/>
                <w:bCs w:val="false"/>
              </w:rPr>
              <w:t xml:space="preserve">每日 18:00</w:t>
            </w:r>
          </w:p>
        </w:tc>
        <w:tc>
          <w:tcPr>
            <w:tcW w:type="dxa" w:w="3120"/>
            <w:shd w:fill="FFFFFF" w:val="clear"/>
          </w:tcPr>
          <w:p>
            <w:r>
              <w:rPr>
                <w:b w:val="false"/>
                <w:bCs w:val="false"/>
              </w:rPr>
              <w:t xml:space="preserve">商品数据日报</w:t>
            </w:r>
          </w:p>
        </w:tc>
        <w:tc>
          <w:tcPr>
            <w:tcW w:type="dxa" w:w="3120"/>
            <w:shd w:fill="FFFFFF" w:val="clear"/>
          </w:tcPr>
          <w:p>
            <w:r>
              <w:rPr>
                <w:b w:val="false"/>
                <w:bCs w:val="false"/>
              </w:rPr>
              <w:t xml:space="preserve">依赖日报释放商家浏览器；运行商品底单、询单、推广三阶段。</w:t>
            </w:r>
          </w:p>
        </w:tc>
      </w:tr>
      <w:tr>
        <w:tc>
          <w:tcPr>
            <w:tcW w:type="dxa" w:w="3120"/>
            <w:shd w:fill="FFFFFF" w:val="clear"/>
          </w:tcPr>
          <w:p>
            <w:r>
              <w:rPr>
                <w:b w:val="false"/>
                <w:bCs w:val="false"/>
              </w:rPr>
              <w:t xml:space="preserve">每周一 09:30</w:t>
            </w:r>
          </w:p>
        </w:tc>
        <w:tc>
          <w:tcPr>
            <w:tcW w:type="dxa" w:w="3120"/>
            <w:shd w:fill="FFFFFF" w:val="clear"/>
          </w:tcPr>
          <w:p>
            <w:r>
              <w:rPr>
                <w:b w:val="false"/>
                <w:bCs w:val="false"/>
              </w:rPr>
              <w:t xml:space="preserve">周报第一阶段</w:t>
            </w:r>
          </w:p>
        </w:tc>
        <w:tc>
          <w:tcPr>
            <w:tcW w:type="dxa" w:w="3120"/>
            <w:shd w:fill="FFFFFF" w:val="clear"/>
          </w:tcPr>
          <w:p>
            <w:r>
              <w:rPr>
                <w:b w:val="false"/>
                <w:bCs w:val="false"/>
              </w:rPr>
              <w:t xml:space="preserve">关键词采集、周表准备、竞品采集准备；与日报/商品日报不重叠。</w:t>
            </w:r>
          </w:p>
        </w:tc>
      </w:tr>
      <w:tr>
        <w:tc>
          <w:tcPr>
            <w:tcW w:type="dxa" w:w="3120"/>
            <w:shd w:fill="FFFFFF" w:val="clear"/>
          </w:tcPr>
          <w:p>
            <w:r>
              <w:rPr>
                <w:b w:val="false"/>
                <w:bCs w:val="false"/>
              </w:rPr>
              <w:t xml:space="preserve">周一 10:30–13:30</w:t>
            </w:r>
          </w:p>
        </w:tc>
        <w:tc>
          <w:tcPr>
            <w:tcW w:type="dxa" w:w="3120"/>
            <w:shd w:fill="FFFFFF" w:val="clear"/>
          </w:tcPr>
          <w:p>
            <w:r>
              <w:rPr>
                <w:b w:val="false"/>
                <w:bCs w:val="false"/>
              </w:rPr>
              <w:t xml:space="preserve">周报 AI 闸门</w:t>
            </w:r>
          </w:p>
        </w:tc>
        <w:tc>
          <w:tcPr>
            <w:tcW w:type="dxa" w:w="3120"/>
            <w:shd w:fill="FFFFFF" w:val="clear"/>
          </w:tcPr>
          <w:p>
            <w:r>
              <w:rPr>
                <w:b w:val="false"/>
                <w:bCs w:val="false"/>
              </w:rPr>
              <w:t xml:space="preserve">每 30 分钟检查飞书 AI 字段；未结算必须保持 PAUSED_FOR_HUMAN。</w:t>
            </w:r>
          </w:p>
        </w:tc>
      </w:tr>
      <w:tr>
        <w:tc>
          <w:tcPr>
            <w:tcW w:type="dxa" w:w="3120"/>
            <w:shd w:fill="FFFFFF" w:val="clear"/>
          </w:tcPr>
          <w:p>
            <w:r>
              <w:rPr>
                <w:b w:val="false"/>
                <w:bCs w:val="false"/>
              </w:rPr>
              <w:t xml:space="preserve">周一 14:00</w:t>
            </w:r>
          </w:p>
        </w:tc>
        <w:tc>
          <w:tcPr>
            <w:tcW w:type="dxa" w:w="3120"/>
            <w:shd w:fill="FFFFFF" w:val="clear"/>
          </w:tcPr>
          <w:p>
            <w:r>
              <w:rPr>
                <w:b w:val="false"/>
                <w:bCs w:val="false"/>
              </w:rPr>
              <w:t xml:space="preserve">周报后处理</w:t>
            </w:r>
          </w:p>
        </w:tc>
        <w:tc>
          <w:tcPr>
            <w:tcW w:type="dxa" w:w="3120"/>
            <w:shd w:fill="FFFFFF" w:val="clear"/>
          </w:tcPr>
          <w:p>
            <w:r>
              <w:rPr>
                <w:b w:val="false"/>
                <w:bCs w:val="false"/>
              </w:rPr>
              <w:t xml:space="preserve">决策历史、灰豚热度、竞品富化和发布回读。</w:t>
            </w:r>
          </w:p>
        </w:tc>
      </w:tr>
    </w:tbl>
    <w:p>
      <w:pPr>
        <w:pStyle w:val="Heading1"/>
      </w:pPr>
      <w:r>
        <w:t xml:space="preserve">三、店铺数据日报提示词</w:t>
      </w:r>
    </w:p>
    <w:p>
      <w:pPr>
        <w:spacing w:after="120"/>
      </w:pPr>
      <w:r>
        <w:t xml:space="preserve">将以下完整文字作为 WorkBuddy 任务提示词：</w:t>
      </w:r>
    </w:p>
    <w:p>
      <w:pPr>
        <w:pStyle w:val="Code"/>
        <w:spacing w:after="120" w:before="80"/>
      </w:pPr>
      <w:r>
        <w:rPr>
          <w:rFonts w:ascii="Consolas" w:cs="Consolas" w:eastAsia="Consolas" w:hAnsi="Consolas"/>
          <w:sz w:val="20"/>
          <w:szCs w:val="20"/>
        </w:rPr>
        <w:t xml:space="preserve">你在 D:\Retire\sycm-automation 执行店铺数据日报。目标日期默认昨日，时区 Asia/Shanghai。执行：node scripts/run-daily-job.mjs --date yesterday --batches 1 --notify。开始前确认没有 merchant-automation 锁；使用日报流程的五店自动登录守卫。五店并行采集，任一店登录、验证码、风控或身份不一致立即停止该店并保留告警。不得绕过平台控制。每个阶段写 evidence 和 receipt，失败分类为 TRANSIENT_EXTERNAL、HUMAN_REQUIRED、POLICY_DENIED 或 UNKNOWN_WRITE。写入后必须回读核对行数和日期。成功条件是五店计划内阶段完成、飞书回读通过、浏览器/代理端口释放；释放未确认就报告失败。结束时汇报目标日期、各店状态、源行数、新增/重复数、回读和释放结果。</w:t>
      </w:r>
    </w:p>
    <w:p>
      <w:pPr>
        <w:pStyle w:val="Heading1"/>
      </w:pPr>
      <w:r>
        <w:t xml:space="preserve">四、商品数据日报提示词</w:t>
      </w:r>
    </w:p>
    <w:p>
      <w:pPr>
        <w:spacing w:after="120"/>
      </w:pPr>
      <w:r>
        <w:t xml:space="preserve">将以下完整文字作为 WorkBuddy 任务提示词：</w:t>
      </w:r>
    </w:p>
    <w:p>
      <w:pPr>
        <w:pStyle w:val="Code"/>
        <w:spacing w:after="120" w:before="80"/>
      </w:pPr>
      <w:r>
        <w:rPr>
          <w:rFonts w:ascii="Consolas" w:cs="Consolas" w:eastAsia="Consolas" w:hAnsi="Consolas"/>
          <w:sz w:val="20"/>
          <w:szCs w:val="20"/>
        </w:rPr>
        <w:t xml:space="preserve">你在 D:\Retire\sycm-automation 执行商品数据自动采集。目标日期默认昨日，时区 Asia/Shanghai。先确认店铺数据日报已结束并释放资源，再执行：node scripts/run-product-data-job.mjs --date yesterday --commit --notify。覆盖五家店并行采集商品底单、商品询单、商品推广。每次运行必须使用唯一 runId 和独立下载目录，只接受本轮采集器显式返回且日期/店铺/报表类型匹配的文件，禁止从历史 Downloads 目录回退取文件。导入必须幂等，先回读再决定是否重试；写入结果未知时禁止盲目重试。推广下载遇到任务未刷新、遮挡或最新任务不可下载时，按程序内置最多三次刷新/重新发现 target/真实点击重试，以 ZIP 实际落盘为成功判据。登录、验证码、风控、权限或页面改版转人工。无论成败都释放浏览器并两次回读端口。结束汇报目标日期、五店三阶段源行数/新增/重复、飞书回读、run-receipt 状态、失败分类和释放状态。</w:t>
      </w:r>
    </w:p>
    <w:p>
      <w:pPr>
        <w:pStyle w:val="Heading1"/>
      </w:pPr>
      <w:r>
        <w:t xml:space="preserve">五、周报提示词</w:t>
      </w:r>
    </w:p>
    <w:p>
      <w:pPr>
        <w:spacing w:after="120"/>
      </w:pPr>
      <w:r>
        <w:t xml:space="preserve">周报当前由多个阶段脚本组成，WorkBuddy 必须按阶段收据编排，不得把多个命令无条件串联为“成功”。</w:t>
      </w:r>
    </w:p>
    <w:p>
      <w:pPr>
        <w:pStyle w:val="Code"/>
        <w:spacing w:after="120" w:before="80"/>
      </w:pPr>
      <w:r>
        <w:rPr>
          <w:rFonts w:ascii="Consolas" w:cs="Consolas" w:eastAsia="Consolas" w:hAnsi="Consolas"/>
          <w:sz w:val="20"/>
          <w:szCs w:val="20"/>
        </w:rPr>
        <w:t xml:space="preserve">你在 D:\Retire\sycm-automation 执行周报编排。每周一 09:30 开始，目标周由当前配置确定。先获取 merchant-automation 全局锁，检查上次周报 receipt 和浏览器/代理状态，并用 node scripts/run-weekly-workflow.mjs --show-plan 读取下一阶段。阶段顺序：1) 关键词周报采集；2) 创建/导入本期周表；3) 等待飞书 AI 字段结算；4) 读取并验证 AI receipt；5) 决策历史同步；6) 灰豚热度；7) 竞品采集与 SKU/FAQ 富化；8) 周报发布与回读。AI 字段未结算时只输出 PAUSED_FOR_HUMAN，不得伪造后续完成。每阶段写 receipt，支持从最后一个成功阶段续跑。外部网络/页面问题最多重试三次；飞书写入结果未知先回读；权限、验证码、风控和页面改版转人工。最终仅在所有阶段 receipt、发布回读和资源释放均通过时报告 COMPLETED，否则报告具体阶段和人工动作。</w:t>
      </w:r>
    </w:p>
    <w:p>
      <w:pPr>
        <w:pStyle w:val="Heading1"/>
      </w:pPr>
      <w:r>
        <w:t xml:space="preserve">六、成功标准与失败处理</w:t>
      </w:r>
    </w:p>
    <w:tbl>
      <w:tblPr>
        <w:tblW w:type="dxa" w:w="9360"/>
        <w:tblBorders>
          <w:top w:val="single" w:color="D9E1F2" w:sz="1"/>
          <w:left w:val="single" w:color="D9E1F2" w:sz="1"/>
          <w:bottom w:val="single" w:color="D9E1F2" w:sz="1"/>
          <w:right w:val="single" w:color="D9E1F2" w:sz="1"/>
          <w:insideH w:val="single" w:color="D9E1F2" w:sz="1"/>
          <w:insideV w:val="single" w:color="D9E1F2" w:sz="1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EAF2F8" w:val="clear"/>
          </w:tcPr>
          <w:p>
            <w:r>
              <w:rPr>
                <w:b/>
                <w:bCs/>
              </w:rPr>
              <w:t xml:space="preserve">状态</w:t>
            </w:r>
          </w:p>
        </w:tc>
        <w:tc>
          <w:tcPr>
            <w:tcW w:type="dxa" w:w="3120"/>
            <w:shd w:fill="EAF2F8" w:val="clear"/>
          </w:tcPr>
          <w:p>
            <w:r>
              <w:rPr>
                <w:b/>
                <w:bCs/>
              </w:rPr>
              <w:t xml:space="preserve">判定</w:t>
            </w:r>
          </w:p>
        </w:tc>
        <w:tc>
          <w:tcPr>
            <w:tcW w:type="dxa" w:w="3120"/>
            <w:shd w:fill="EAF2F8" w:val="clear"/>
          </w:tcPr>
          <w:p>
            <w:r>
              <w:rPr>
                <w:b/>
                <w:bCs/>
              </w:rPr>
              <w:t xml:space="preserve">WorkBuddy 动作</w:t>
            </w:r>
          </w:p>
        </w:tc>
      </w:tr>
      <w:tr>
        <w:tc>
          <w:tcPr>
            <w:tcW w:type="dxa" w:w="3120"/>
            <w:shd w:fill="FFFFFF" w:val="clear"/>
          </w:tcPr>
          <w:p>
            <w:r>
              <w:rPr>
                <w:b w:val="false"/>
                <w:bCs w:val="false"/>
              </w:rPr>
              <w:t xml:space="preserve">COMPLETED</w:t>
            </w:r>
          </w:p>
        </w:tc>
        <w:tc>
          <w:tcPr>
            <w:tcW w:type="dxa" w:w="3120"/>
            <w:shd w:fill="FFFFFF" w:val="clear"/>
          </w:tcPr>
          <w:p>
            <w:r>
              <w:rPr>
                <w:b w:val="false"/>
                <w:bCs w:val="false"/>
              </w:rPr>
              <w:t xml:space="preserve">采集、导入、回读、收据和释放全部通过</w:t>
            </w:r>
          </w:p>
        </w:tc>
        <w:tc>
          <w:tcPr>
            <w:tcW w:type="dxa" w:w="3120"/>
            <w:shd w:fill="FFFFFF" w:val="clear"/>
          </w:tcPr>
          <w:p>
            <w:r>
              <w:rPr>
                <w:b w:val="false"/>
                <w:bCs w:val="false"/>
              </w:rPr>
              <w:t xml:space="preserve">发送成功摘要，保留 evidence。</w:t>
            </w:r>
          </w:p>
        </w:tc>
      </w:tr>
      <w:tr>
        <w:tc>
          <w:tcPr>
            <w:tcW w:type="dxa" w:w="3120"/>
            <w:shd w:fill="FFFFFF" w:val="clear"/>
          </w:tcPr>
          <w:p>
            <w:r>
              <w:rPr>
                <w:b w:val="false"/>
                <w:bCs w:val="false"/>
              </w:rPr>
              <w:t xml:space="preserve">RECOVERED</w:t>
            </w:r>
          </w:p>
        </w:tc>
        <w:tc>
          <w:tcPr>
            <w:tcW w:type="dxa" w:w="3120"/>
            <w:shd w:fill="FFFFFF" w:val="clear"/>
          </w:tcPr>
          <w:p>
            <w:r>
              <w:rPr>
                <w:b w:val="false"/>
                <w:bCs w:val="false"/>
              </w:rPr>
              <w:t xml:space="preserve">首次失败后重试成功</w:t>
            </w:r>
          </w:p>
        </w:tc>
        <w:tc>
          <w:tcPr>
            <w:tcW w:type="dxa" w:w="3120"/>
            <w:shd w:fill="FFFFFF" w:val="clear"/>
          </w:tcPr>
          <w:p>
            <w:r>
              <w:rPr>
                <w:b w:val="false"/>
                <w:bCs w:val="false"/>
              </w:rPr>
              <w:t xml:space="preserve">发送恢复摘要，记录重试次数和原因。</w:t>
            </w:r>
          </w:p>
        </w:tc>
      </w:tr>
      <w:tr>
        <w:tc>
          <w:tcPr>
            <w:tcW w:type="dxa" w:w="3120"/>
            <w:shd w:fill="FFFFFF" w:val="clear"/>
          </w:tcPr>
          <w:p>
            <w:r>
              <w:rPr>
                <w:b w:val="false"/>
                <w:bCs w:val="false"/>
              </w:rPr>
              <w:t xml:space="preserve">TRANSIENT_EXTERNAL</w:t>
            </w:r>
          </w:p>
        </w:tc>
        <w:tc>
          <w:tcPr>
            <w:tcW w:type="dxa" w:w="3120"/>
            <w:shd w:fill="FFFFFF" w:val="clear"/>
          </w:tcPr>
          <w:p>
            <w:r>
              <w:rPr>
                <w:b w:val="false"/>
                <w:bCs w:val="false"/>
              </w:rPr>
              <w:t xml:space="preserve">网络、页面加载、任务生成暂时失败</w:t>
            </w:r>
          </w:p>
        </w:tc>
        <w:tc>
          <w:tcPr>
            <w:tcW w:type="dxa" w:w="3120"/>
            <w:shd w:fill="FFFFFF" w:val="clear"/>
          </w:tcPr>
          <w:p>
            <w:r>
              <w:rPr>
                <w:b w:val="false"/>
                <w:bCs w:val="false"/>
              </w:rPr>
              <w:t xml:space="preserve">按阶段最多重试三次，仍失败转人工。</w:t>
            </w:r>
          </w:p>
        </w:tc>
      </w:tr>
      <w:tr>
        <w:tc>
          <w:tcPr>
            <w:tcW w:type="dxa" w:w="3120"/>
            <w:shd w:fill="FFFFFF" w:val="clear"/>
          </w:tcPr>
          <w:p>
            <w:r>
              <w:rPr>
                <w:b w:val="false"/>
                <w:bCs w:val="false"/>
              </w:rPr>
              <w:t xml:space="preserve">HUMAN_REQUIRED</w:t>
            </w:r>
          </w:p>
        </w:tc>
        <w:tc>
          <w:tcPr>
            <w:tcW w:type="dxa" w:w="3120"/>
            <w:shd w:fill="FFFFFF" w:val="clear"/>
          </w:tcPr>
          <w:p>
            <w:r>
              <w:rPr>
                <w:b w:val="false"/>
                <w:bCs w:val="false"/>
              </w:rPr>
              <w:t xml:space="preserve">登录、验证码、风控、权限、AI 未结算、页面改版</w:t>
            </w:r>
          </w:p>
        </w:tc>
        <w:tc>
          <w:tcPr>
            <w:tcW w:type="dxa" w:w="3120"/>
            <w:shd w:fill="FFFFFF" w:val="clear"/>
          </w:tcPr>
          <w:p>
            <w:r>
              <w:rPr>
                <w:b w:val="false"/>
                <w:bCs w:val="false"/>
              </w:rPr>
              <w:t xml:space="preserve">暂停并通知人工，不继续写入。</w:t>
            </w:r>
          </w:p>
        </w:tc>
      </w:tr>
      <w:tr>
        <w:tc>
          <w:tcPr>
            <w:tcW w:type="dxa" w:w="3120"/>
            <w:shd w:fill="FFFFFF" w:val="clear"/>
          </w:tcPr>
          <w:p>
            <w:r>
              <w:rPr>
                <w:b w:val="false"/>
                <w:bCs w:val="false"/>
              </w:rPr>
              <w:t xml:space="preserve">UNKNOWN_WRITE</w:t>
            </w:r>
          </w:p>
        </w:tc>
        <w:tc>
          <w:tcPr>
            <w:tcW w:type="dxa" w:w="3120"/>
            <w:shd w:fill="FFFFFF" w:val="clear"/>
          </w:tcPr>
          <w:p>
            <w:r>
              <w:rPr>
                <w:b w:val="false"/>
                <w:bCs w:val="false"/>
              </w:rPr>
              <w:t xml:space="preserve">写入响应未知或进程中断</w:t>
            </w:r>
          </w:p>
        </w:tc>
        <w:tc>
          <w:tcPr>
            <w:tcW w:type="dxa" w:w="3120"/>
            <w:shd w:fill="FFFFFF" w:val="clear"/>
          </w:tcPr>
          <w:p>
            <w:r>
              <w:rPr>
                <w:b w:val="false"/>
                <w:bCs w:val="false"/>
              </w:rPr>
              <w:t xml:space="preserve">先回读目标表，确认前禁止重试。</w:t>
            </w:r>
          </w:p>
        </w:tc>
      </w:tr>
      <w:tr>
        <w:tc>
          <w:tcPr>
            <w:tcW w:type="dxa" w:w="3120"/>
            <w:shd w:fill="FFFFFF" w:val="clear"/>
          </w:tcPr>
          <w:p>
            <w:r>
              <w:rPr>
                <w:b w:val="false"/>
                <w:bCs w:val="false"/>
              </w:rPr>
              <w:t xml:space="preserve">FAILED</w:t>
            </w:r>
          </w:p>
        </w:tc>
        <w:tc>
          <w:tcPr>
            <w:tcW w:type="dxa" w:w="3120"/>
            <w:shd w:fill="FFFFFF" w:val="clear"/>
          </w:tcPr>
          <w:p>
            <w:r>
              <w:rPr>
                <w:b w:val="false"/>
                <w:bCs w:val="false"/>
              </w:rPr>
              <w:t xml:space="preserve">采集文件缺失、日期/店铺不匹配、回读或释放失败</w:t>
            </w:r>
          </w:p>
        </w:tc>
        <w:tc>
          <w:tcPr>
            <w:tcW w:type="dxa" w:w="3120"/>
            <w:shd w:fill="FFFFFF" w:val="clear"/>
          </w:tcPr>
          <w:p>
            <w:r>
              <w:rPr>
                <w:b w:val="false"/>
                <w:bCs w:val="false"/>
              </w:rPr>
              <w:t xml:space="preserve">报告阶段、证据路径和人工处理建议。</w:t>
            </w:r>
          </w:p>
        </w:tc>
      </w:tr>
    </w:tbl>
    <w:p>
      <w:pPr>
        <w:pStyle w:val="Heading1"/>
      </w:pPr>
      <w:r>
        <w:t xml:space="preserve">七、交付检查清单</w:t>
      </w:r>
    </w:p>
    <w:p>
      <w:pPr>
        <w:pStyle w:val="ListParagraph"/>
        <w:numPr>
          <w:ilvl w:val="0"/>
          <w:numId w:val="3"/>
        </w:numPr>
      </w:pPr>
      <w:r>
        <w:t xml:space="preserve">确认客户机器已配置 Node 22、Python/openpyxl、Edge、CDP 代理和飞书凭据路径；凭据不写入仓库。</w:t>
      </w:r>
    </w:p>
    <w:p>
      <w:pPr>
        <w:pStyle w:val="ListParagraph"/>
        <w:numPr>
          <w:ilvl w:val="0"/>
          <w:numId w:val="3"/>
        </w:numPr>
      </w:pPr>
      <w:r>
        <w:t xml:space="preserve">首次运行后检查 evidence/product-data-job-YYYY-MM-DD/&lt;runId&gt;/run-receipt.json、collection.json、各导入 receipt 和 release.json。</w:t>
      </w:r>
    </w:p>
    <w:p>
      <w:pPr>
        <w:pStyle w:val="ListParagraph"/>
        <w:numPr>
          <w:ilvl w:val="0"/>
          <w:numId w:val="3"/>
        </w:numPr>
      </w:pPr>
      <w:r>
        <w:t xml:space="preserve">连续观察至少三次日报和一次周报；确认重复运行不会新增重复行。</w:t>
      </w:r>
    </w:p>
    <w:p>
      <w:pPr>
        <w:pStyle w:val="ListParagraph"/>
        <w:numPr>
          <w:ilvl w:val="0"/>
          <w:numId w:val="3"/>
        </w:numPr>
      </w:pPr>
      <w:r>
        <w:t xml:space="preserve">确认 WorkBuddy 只有一个总调度入口，并将日报、商品日报、周报按本文档时间串行执行。</w:t>
      </w:r>
    </w:p>
    <w:p>
      <w:pPr>
        <w:spacing w:after="120"/>
      </w:pPr>
      <w:r>
        <w:t xml:space="preserve">文档边界：当前系统适合单机、单租户、有人可介入的运营自动化。周报的飞书 AI 字段仍是人工闸门，未完成连续无人值守验收前，不应对客户承诺完全无人值守。</w:t>
      </w:r>
    </w:p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Code">
    <w:name w:val="Code"/>
    <w:basedOn w:val="Normal"/>
    <w:pPr>
      <w:shd w:fill="F5F7FA" w:val="clear"/>
    </w:pPr>
    <w:rPr>
      <w:rFonts w:ascii="Consolas" w:cs="Consolas" w:eastAsia="Consolas" w:hAnsi="Consolas"/>
      <w:color w:val="333333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2026-09-27T02:48:57.218Z</dcterms:created>
  <dcterms:modified xsi:type="dcterms:W3CDTF">2026-09-27T02:48:57.219Z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