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5B9BD5"/>
          <w:sz w:val="18"/>
          <w:szCs w:val="18"/>
        </w:rPr>
        <w:t xml:space="preserve">飞书多维表格配置参考 · 浴缸竞品分析</w:t>
      </w:r>
    </w:p>
    <w:p>
      <w:pPr>
        <w:spacing w:after="2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浴缸竞品分析表：字段、公式与 AI 提示词</w:t>
      </w:r>
    </w:p>
    <w:p>
      <w:pPr>
        <w:spacing w:after="260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竞品主表与竞品周表的字段口径、飞书公式与 AI 提示词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目标 base：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浴缸竞品分析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（飞书多维表格）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目标表：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竞品主表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— 36 个字段，全量历史，是所有字段定义的基准；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竞品周表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— 每周新建一张，35 个字段，承载当周的采集数据与统计。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本文逐字段说明处理方式、需要在飞书侧配置的公式，以及 AI 字段提示词全文。 文中字段类型、字段个数、公式结构均为针对线上表逐项核对的结果，不是设计稿。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F0D9A8" w:sz="1"/>
              <w:left w:val="single" w:color="F0D9A8" w:sz="1"/>
              <w:bottom w:val="single" w:color="F0D9A8" w:sz="1"/>
              <w:right w:val="single" w:color="F0D9A8" w:sz="1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4A3B12"/>
                <w:sz w:val="19"/>
                <w:szCs w:val="19"/>
              </w:rPr>
              <w:t xml:space="preserve">怎么用这份文档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：第一节是字段处理矩阵，用来核对手上这张表每个字段归谁负责；第二节是可直接配置的飞书公式；第三节是可直接粘贴到飞书 AI 字段的提示词；第四节是受控词表与归一化对照；第五节是必须知道的边界与待确认事项。</w:t>
            </w:r>
          </w:p>
        </w:tc>
      </w:tr>
    </w:tbl>
    <w:p>
      <w:pPr>
        <w:pBdr>
          <w:bottom w:val="single" w:color="D9E2F3" w:sz="6" w:space="1"/>
        </w:pBdr>
        <w:spacing w:after="200" w:before="100"/>
      </w:pPr>
    </w:p>
    <w:p>
      <w:pPr>
        <w:pBdr>
          <w:left w:val="single" w:color="2E74B5" w:sz="24" w:space="10"/>
        </w:pBdr>
        <w:spacing w:after="150" w:before="340"/>
        <w:ind w:left="17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一、字段处理矩阵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处理方式只有五类：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小旺神原值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（采集导出，原样保留）、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导入时写入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（导入程序固定写入）、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飞书公式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（表格自动重算，无需人工填）、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飞书 AI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（由提示词识别填充）、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汇总/关联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（由关联表自动带出）。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1.1 竞品主表（36 个字段）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919"/>
        <w:gridCol w:w="2822"/>
        <w:gridCol w:w="4563"/>
      </w:tblGrid>
      <w:tr>
        <w:trPr>
          <w:tblHeader/>
        </w:trP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字段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处理方式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当前动作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序号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保留，不修改（每份导出都从 1 重排，不是全局唯一）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商品图片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小旺神原值（图片）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保留，以附件形式上传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商品标题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保留。</w:t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所有公式判断与 AI 识别的唯一文字依据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商品链接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保留，同时作为合并去重键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价格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小旺神原值（数字）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保留，不换算单位、不补缺失值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月收货人数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保留原样，包括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7"/>
                <w:szCs w:val="17"/>
              </w:rPr>
              <w:t xml:space="preserve">100+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 这类区间下限写法；不改写成数字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类目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保留，但</w:t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不参与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「是否有效竞品」判断（来源数据里配件也会被归到浴缸类目）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同款数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保留，不修改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平台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保留（淘宝 / 天猫）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占位类型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保留，不修改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店铺名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保留，不修改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店铺旺旺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保留，不修改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店铺类型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保留，不修改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地址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保留，不修改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收藏人数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保留，不修改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卖点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小旺神原值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保留；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7"/>
                <w:szCs w:val="17"/>
              </w:rPr>
              <w:t xml:space="preserve">功能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 的 AI 识别允许读它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搜索关键词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导入时写入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固定为当次采集关键词（如「浴缸」）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是否有效竞品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自动重算：是 / 否 / 待确认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排除原因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自动重算：非浴缸主体 / 服务类 / 浴缸配件；有效或待确认留空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月收货人数计算值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7"/>
                <w:szCs w:val="17"/>
              </w:rPr>
              <w:t xml:space="preserve">100+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 取下限 100，纯数字取原值，不可计算留空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计算口径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自动重算：精确值 / 下限值 / 不可计算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月收货金额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自动重算：价格 × 月收货人数计算值；缺任一项留空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23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客单价带分类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自动重算：1000以下 / 1000-3000 / 3000-6000 / 6000-8000 / 8000以上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竞品分类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自动重算：A-爆款 / B-高价值 / C-差异化 / D-价格流量 / 无分类 / 不适用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待补数据项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自动重算：列出该条还缺哪些分析信息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26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数据状态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飞书公式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自动重算：无缺项=可用；有缺项=部分待补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27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材质分类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 AI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使用提示词 A，受控词表；另有确定性识别规则（见 §4）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外形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 AI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使用提示词 B，受控词表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29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安装方式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 AI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使用提示词 C，受控词表（含「台上/搁置」，业务已确认保留）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功能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 AI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使用提示词 D，受控词表；可读商品标题与卖点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31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风格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飞书 AI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使用提示词 E，受控词表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尺寸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汇总（Lookup）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从 SKU 明细汇总而来，不在本表手填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33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适用空间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汇总（Lookup）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34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SKU采集明细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双向关联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由 SKU 明细侧建立关系时，表格自动生成的反查字段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商品ID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导入时写入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淘宝商品 id，也是 SKU 采集的入口参数。</w:t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只有本周出现的记录才有值</w:t>
            </w:r>
          </w:p>
        </w:tc>
      </w:tr>
      <w:tr>
        <w:tc>
          <w:tcPr>
            <w:tcW w:type="dxa" w:w="7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36</w:t>
            </w:r>
          </w:p>
        </w:tc>
        <w:tc>
          <w:tcPr>
            <w:tcW w:type="dxa" w:w="191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当前周状态</w:t>
            </w:r>
          </w:p>
        </w:tc>
        <w:tc>
          <w:tcPr>
            <w:tcW w:type="dxa" w:w="282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主表侧维护</w:t>
            </w:r>
          </w:p>
        </w:tc>
        <w:tc>
          <w:tcPr>
            <w:tcW w:type="dxa" w:w="456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两个取值：本周出现 / 本周未出现。主表用它区分周期；周表里每一条都是本周的，这一列在周表上是恒定的</w:t>
            </w:r>
          </w:p>
        </w:tc>
      </w:tr>
    </w:tbl>
    <w:p>
      <w:pPr>
        <w:spacing w:after="0"/>
      </w:pP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1.2 周表专有字段（5 个，主表没有）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2476"/>
        <w:gridCol w:w="4895"/>
      </w:tblGrid>
      <w:tr>
        <w:trPr>
          <w:tblHeader/>
        </w:trPr>
        <w:tc>
          <w:tcPr>
            <w:tcW w:type="dxa" w:w="265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字段</w:t>
            </w:r>
          </w:p>
        </w:tc>
        <w:tc>
          <w:tcPr>
            <w:tcW w:type="dxa" w:w="247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处理方式</w:t>
            </w:r>
          </w:p>
        </w:tc>
        <w:tc>
          <w:tcPr>
            <w:tcW w:type="dxa" w:w="489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当前动作</w:t>
            </w:r>
          </w:p>
        </w:tc>
      </w:tr>
      <w:tr>
        <w:tc>
          <w:tcPr>
            <w:tcW w:type="dxa" w:w="265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商品周期唯一键</w:t>
            </w:r>
          </w:p>
        </w:tc>
        <w:tc>
          <w:tcPr>
            <w:tcW w:type="dxa" w:w="247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导入时写入</w:t>
            </w:r>
          </w:p>
        </w:tc>
        <w:tc>
          <w:tcPr>
            <w:tcW w:type="dxa" w:w="489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幂等键，防止同一周期重复导入</w:t>
            </w:r>
          </w:p>
        </w:tc>
      </w:tr>
      <w:tr>
        <w:tc>
          <w:tcPr>
            <w:tcW w:type="dxa" w:w="265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数据开始日期 / 数据结束日期</w:t>
            </w:r>
          </w:p>
        </w:tc>
        <w:tc>
          <w:tcPr>
            <w:tcW w:type="dxa" w:w="247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导入时写入</w:t>
            </w:r>
          </w:p>
        </w:tc>
        <w:tc>
          <w:tcPr>
            <w:tcW w:type="dxa" w:w="489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业务周期（如 2026-09-13 ~ 2026-09-19）</w:t>
            </w:r>
          </w:p>
        </w:tc>
      </w:tr>
      <w:tr>
        <w:tc>
          <w:tcPr>
            <w:tcW w:type="dxa" w:w="265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采集时间</w:t>
            </w:r>
          </w:p>
        </w:tc>
        <w:tc>
          <w:tcPr>
            <w:tcW w:type="dxa" w:w="247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导入时写入</w:t>
            </w:r>
          </w:p>
        </w:tc>
        <w:tc>
          <w:tcPr>
            <w:tcW w:type="dxa" w:w="489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实际采集当天。</w:t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它不等于周期结束日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，周表命名用的是采集日</w:t>
            </w:r>
          </w:p>
        </w:tc>
      </w:tr>
      <w:tr>
        <w:tc>
          <w:tcPr>
            <w:tcW w:type="dxa" w:w="265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主表记录ID</w:t>
            </w:r>
          </w:p>
        </w:tc>
        <w:tc>
          <w:tcPr>
            <w:tcW w:type="dxa" w:w="247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导入时写入</w:t>
            </w:r>
          </w:p>
        </w:tc>
        <w:tc>
          <w:tcPr>
            <w:tcW w:type="dxa" w:w="489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回指竞品主表记录</w:t>
            </w:r>
          </w:p>
        </w:tc>
      </w:tr>
    </w:tbl>
    <w:p>
      <w:pPr>
        <w:spacing w:after="0"/>
      </w:pP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1.3 周表与主表的字段差异（重要）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新建周表时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只复制结构，不复制数据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，并补上 5 个周表专有字段。主表 36 个字段里，只有 1 个不出现在周表上：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周表 40 = 主表 36 − 1 + 5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4"/>
        <w:gridCol w:w="5752"/>
      </w:tblGrid>
      <w:tr>
        <w:trPr>
          <w:tblHeader/>
        </w:trPr>
        <w:tc>
          <w:tcPr>
            <w:tcW w:type="dxa" w:w="427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差异项</w:t>
            </w:r>
          </w:p>
        </w:tc>
        <w:tc>
          <w:tcPr>
            <w:tcW w:type="dxa" w:w="575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427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SKU采集明细（主表有，周表没有）</w:t>
            </w:r>
          </w:p>
        </w:tc>
        <w:tc>
          <w:tcPr>
            <w:tcW w:type="dxa" w:w="575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双向关联字段。每条 SKU 记录归属于</w:t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9"/>
                <w:szCs w:val="19"/>
              </w:rPr>
              <w:t xml:space="preserve">竞品主表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的一条商品，不归属于某一周；而且在周表上再建一次同样的关联，会给「SKU明细」多生成一个反向字段，与主表那个冲突。</w:t>
            </w:r>
          </w:p>
        </w:tc>
      </w:tr>
    </w:tbl>
    <w:p>
      <w:pPr>
        <w:spacing w:after="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其中 4 个字段——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尺寸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适用空间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数据状态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待补数据项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——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在周表上同样存在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：前两个是从 SKU 明细汇总来的引用字段，后两个是公式字段。它们的表达式里写死了「当前这张表」的表 ID 和字段 ID，所以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由建表流程在建表当天按新周表重新生成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，不能照抄主表（照抄会指向主表）。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由此带来一个必须知道的实际影响：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周表上的「数据状态」「待补数据项」是按周表自己的数据算的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。这一周还没做 SKU 汇总时，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尺寸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适用空间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是空的，所以「待补数据项」会稳定地把这两项报出来——这是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正常且正确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的提示，不是字段出错。属性列（材质分类 / 外形 / 安装方式 / 功能 / 风格）是否填齐，同样可以直接看这两个字段。</w:t>
      </w:r>
    </w:p>
    <w:p>
      <w:pPr>
        <w:pBdr>
          <w:bottom w:val="single" w:color="D9E2F3" w:sz="6" w:space="1"/>
        </w:pBdr>
        <w:spacing w:after="200" w:before="100"/>
      </w:pPr>
    </w:p>
    <w:p>
      <w:pPr>
        <w:pBdr>
          <w:left w:val="single" w:color="2E74B5" w:sz="24" w:space="10"/>
        </w:pBdr>
        <w:spacing w:after="150" w:before="340"/>
        <w:ind w:left="17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二、飞书公式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以下为便于人工检查的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字段名版本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。表格实际保存时会把每个字段引用写成内部字段 ID 引用，逐字段展开后单条公式约 2500 ~ 8200 字符。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配置到自己的表时，把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[字段名]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替换成实际的字段引用即可；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不要手抄线上公式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，因为它写死了字段 ID，换一张表就会失效。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2.1 前置闸门（下面每个公式的第一步都是它）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有效闸 = AND(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命中浴缸类词,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NOT(命中非浴缸词),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OR(命中主体词, AND(NOT(命中主体词), NOT(命中服务词), NOT(命中配件词), NOT(命中儿童便携)))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)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其中「命中 X 词」在表格里的写法就是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FIND("X", [商品标题])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逐词展开。各词表：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7829"/>
      </w:tblGrid>
      <w:tr>
        <w:trPr>
          <w:tblHeader/>
        </w:trPr>
        <w:tc>
          <w:tcPr>
            <w:tcW w:type="dxa" w:w="21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词表</w:t>
            </w:r>
          </w:p>
        </w:tc>
        <w:tc>
          <w:tcPr>
            <w:tcW w:type="dxa" w:w="782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词</w:t>
            </w:r>
          </w:p>
        </w:tc>
      </w:tr>
      <w:tr>
        <w:tc>
          <w:tcPr>
            <w:tcW w:type="dxa" w:w="21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浴缸类词</w:t>
            </w:r>
          </w:p>
        </w:tc>
        <w:tc>
          <w:tcPr>
            <w:tcW w:type="dxa" w:w="782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浴缸、浴桶、浴盆、洗澡盆</w:t>
            </w:r>
          </w:p>
        </w:tc>
      </w:tr>
      <w:tr>
        <w:tc>
          <w:tcPr>
            <w:tcW w:type="dxa" w:w="21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主体词</w:t>
            </w:r>
          </w:p>
        </w:tc>
        <w:tc>
          <w:tcPr>
            <w:tcW w:type="dxa" w:w="782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成人、大人、老人、独立式、嵌入式、靠墙式、深泡、可移动</w:t>
            </w:r>
          </w:p>
        </w:tc>
      </w:tr>
      <w:tr>
        <w:tc>
          <w:tcPr>
            <w:tcW w:type="dxa" w:w="21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非浴缸词</w:t>
            </w:r>
          </w:p>
        </w:tc>
        <w:tc>
          <w:tcPr>
            <w:tcW w:type="dxa" w:w="782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洗脚池、洗脚盆、泡脚盆、足浴、宠物、狗洗澡、猫洗澡、婴儿、新生儿</w:t>
            </w:r>
          </w:p>
        </w:tc>
      </w:tr>
      <w:tr>
        <w:tc>
          <w:tcPr>
            <w:tcW w:type="dxa" w:w="21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服务词</w:t>
            </w:r>
          </w:p>
        </w:tc>
        <w:tc>
          <w:tcPr>
            <w:tcW w:type="dxa" w:w="782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上门安装、维修服务</w:t>
            </w:r>
          </w:p>
        </w:tc>
      </w:tr>
      <w:tr>
        <w:tc>
          <w:tcPr>
            <w:tcW w:type="dxa" w:w="21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配件词</w:t>
            </w:r>
          </w:p>
        </w:tc>
        <w:tc>
          <w:tcPr>
            <w:tcW w:type="dxa" w:w="782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龙头、花洒套装、角阀、下水器、排水器、盖板、扶手、靠枕</w:t>
            </w:r>
          </w:p>
        </w:tc>
      </w:tr>
      <w:tr>
        <w:tc>
          <w:tcPr>
            <w:tcW w:type="dxa" w:w="21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儿童便携</w:t>
            </w:r>
          </w:p>
        </w:tc>
        <w:tc>
          <w:tcPr>
            <w:tcW w:type="dxa" w:w="782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同时命中「儿童」与（浴盆、澡盆、折叠、充气、便携）中任意一个</w:t>
            </w:r>
          </w:p>
        </w:tc>
      </w:tr>
    </w:tbl>
    <w:p>
      <w:pPr>
        <w:spacing w:after="0"/>
      </w:pP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F0D9A8" w:sz="1"/>
              <w:left w:val="single" w:color="F0D9A8" w:sz="1"/>
              <w:bottom w:val="single" w:color="F0D9A8" w:sz="1"/>
              <w:right w:val="single" w:color="F0D9A8" w:sz="1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说明：单独出现「浴盆 / 澡盆 / 洗澡盆」本身</w:t>
            </w:r>
            <w:r>
              <w:rPr>
                <w:rFonts w:ascii="Microsoft YaHei" w:cs="Microsoft YaHei" w:eastAsia="Microsoft YaHei" w:hAnsi="Microsoft YaHei"/>
                <w:b/>
                <w:bCs/>
                <w:color w:val="4A3B12"/>
                <w:sz w:val="19"/>
                <w:szCs w:val="19"/>
              </w:rPr>
              <w:t xml:space="preserve">不作为排除依据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，只有在同时命中「儿童」时才排除。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2.2 是否有效竞品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OR(命中非浴缸词), "否",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OR(命中主体词), IF(OR(命中浴缸类词), "是", "待确认"),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OR(命中服务词), "否",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OR(命中配件词), "否",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  AND(FIND("儿童",[商品标题]), OR(FIND("浴盆",[商品标题]),FIND("澡盆",[商品标题]),FIND("折叠",[商品标题]),FIND("充气",[商品标题]),FIND("便携",[商品标题]))), "否",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  IF(OR(命中浴缸类词), "是", "待确认")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2.3 排除原因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OR(命中非浴缸词), "非浴缸主体",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OR(命中主体词), "",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OR(命中服务词), "服务类",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OR(命中配件词), "浴缸配件",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IF(AND(FIND("儿童",[商品标题]), OR(FIND("浴盆",[商品标题]),FIND("澡盆",[商品标题]),FIND("折叠",[商品标题]),FIND("充气",[商品标题]),FIND("便携",[商品标题]))), "非浴缸主体", "")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2.4 月收货人数计算值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IF(NOT(有效闸), "", IFERROR(VALUE(SUBSTITUTE([月收货人数], "+", "")), ""))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2.5 计算口径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NOT(有效闸), "",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RIGHT([月收货人数], 1) = "+", "下限值",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IFERROR(IF(VALUE([月收货人数]) &gt;= 0, "精确值", "不可计算"), "不可计算")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2.6 月收货金额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OR(NOT(有效闸), ISBLANK([价格]), [月收货人数计算值] = ""),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"",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[价格] * [月收货人数计算值]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2.7 客单价带分类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OR(NOT(有效闸), ISBLANK([价格])), "",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IF([价格] &lt; 1000, "1000以下",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IF([价格] &lt; 3000, "1000-3000",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IF([价格] &lt; 6000, "3000-6000",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IF([价格] &lt; 8000, "6000-8000", "8000以上"))))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2.8 竞品分类（A / B / C / D 的核心）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OR(NOT(有效闸), ISBLANK([价格])), "不适用",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AND([月收货人数计算值] &gt;= 80, [月收货金额] &gt;= 200000), "A-爆款竞品",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IF(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AND(FIND("人造石", [材质分类]) &gt; 0, [月收货人数计算值] &gt;= 10), "B-高价值竞品",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IF([价格] &gt;= 8000, "C-差异化竞品",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    IF([价格] &lt; 1000, "D-价格/流量型竞品", "无分类"))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)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判定顺序与含义：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3682"/>
        <w:gridCol w:w="4247"/>
      </w:tblGrid>
      <w:tr>
        <w:trPr>
          <w:tblHeader/>
        </w:trPr>
        <w:tc>
          <w:tcPr>
            <w:tcW w:type="dxa" w:w="20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分类</w:t>
            </w:r>
          </w:p>
        </w:tc>
        <w:tc>
          <w:tcPr>
            <w:tcW w:type="dxa" w:w="368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条件</w:t>
            </w:r>
          </w:p>
        </w:tc>
        <w:tc>
          <w:tcPr>
            <w:tcW w:type="dxa" w:w="424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业务含义</w:t>
            </w:r>
          </w:p>
        </w:tc>
      </w:tr>
      <w:tr>
        <w:tc>
          <w:tcPr>
            <w:tcW w:type="dxa" w:w="20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不适用</w:t>
            </w:r>
          </w:p>
        </w:tc>
        <w:tc>
          <w:tcPr>
            <w:tcW w:type="dxa" w:w="368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前置闸门不通过，或价格为空</w:t>
            </w:r>
          </w:p>
        </w:tc>
        <w:tc>
          <w:tcPr>
            <w:tcW w:type="dxa" w:w="424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不是成人浴缸主体，或数据不足，不参与评级</w:t>
            </w:r>
          </w:p>
        </w:tc>
      </w:tr>
      <w:tr>
        <w:tc>
          <w:tcPr>
            <w:tcW w:type="dxa" w:w="20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A-爆款竞品</w:t>
            </w:r>
          </w:p>
        </w:tc>
        <w:tc>
          <w:tcPr>
            <w:tcW w:type="dxa" w:w="368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月收货人数计算值 ≥ 80 且 月收货金额 ≥ 200000</w:t>
            </w:r>
          </w:p>
        </w:tc>
        <w:tc>
          <w:tcPr>
            <w:tcW w:type="dxa" w:w="424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销量与成交额双高</w:t>
            </w:r>
          </w:p>
        </w:tc>
      </w:tr>
      <w:tr>
        <w:tc>
          <w:tcPr>
            <w:tcW w:type="dxa" w:w="20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B-高价值竞品</w:t>
            </w:r>
          </w:p>
        </w:tc>
        <w:tc>
          <w:tcPr>
            <w:tcW w:type="dxa" w:w="368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材质分类含「人造石」且 月收货人数计算值 ≥ 10</w:t>
            </w:r>
          </w:p>
        </w:tc>
        <w:tc>
          <w:tcPr>
            <w:tcW w:type="dxa" w:w="424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高客单价材质，有最低销量</w:t>
            </w:r>
          </w:p>
        </w:tc>
      </w:tr>
      <w:tr>
        <w:tc>
          <w:tcPr>
            <w:tcW w:type="dxa" w:w="20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C-差异化竞品</w:t>
            </w:r>
          </w:p>
        </w:tc>
        <w:tc>
          <w:tcPr>
            <w:tcW w:type="dxa" w:w="368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价格 ≥ 8000</w:t>
            </w:r>
          </w:p>
        </w:tc>
        <w:tc>
          <w:tcPr>
            <w:tcW w:type="dxa" w:w="424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高价格带，走差异化</w:t>
            </w:r>
          </w:p>
        </w:tc>
      </w:tr>
      <w:tr>
        <w:tc>
          <w:tcPr>
            <w:tcW w:type="dxa" w:w="20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D-价格/流量型竞品</w:t>
            </w:r>
          </w:p>
        </w:tc>
        <w:tc>
          <w:tcPr>
            <w:tcW w:type="dxa" w:w="368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价格 &lt; 1000</w:t>
            </w:r>
          </w:p>
        </w:tc>
        <w:tc>
          <w:tcPr>
            <w:tcW w:type="dxa" w:w="424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低价格带，走流量</w:t>
            </w:r>
          </w:p>
        </w:tc>
      </w:tr>
      <w:tr>
        <w:tc>
          <w:tcPr>
            <w:tcW w:type="dxa" w:w="209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无分类</w:t>
            </w:r>
          </w:p>
        </w:tc>
        <w:tc>
          <w:tcPr>
            <w:tcW w:type="dxa" w:w="3682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以上都不满足</w:t>
            </w:r>
          </w:p>
        </w:tc>
        <w:tc>
          <w:tcPr>
            <w:tcW w:type="dxa" w:w="424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中间价格带且销量不足</w:t>
            </w:r>
          </w:p>
        </w:tc>
      </w:tr>
    </w:tbl>
    <w:p>
      <w:pPr>
        <w:spacing w:after="0"/>
      </w:pP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F0D9A8" w:sz="1"/>
              <w:left w:val="single" w:color="F0D9A8" w:sz="1"/>
              <w:bottom w:val="single" w:color="F0D9A8" w:sz="1"/>
              <w:right w:val="single" w:color="F0D9A8" w:sz="1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4A3B12"/>
                <w:sz w:val="19"/>
                <w:szCs w:val="19"/>
              </w:rPr>
              <w:t xml:space="preserve">配置注意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：B 类判断里的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7"/>
                <w:szCs w:val="17"/>
              </w:rPr>
              <w:t xml:space="preserve">FIND("人造石", [材质分类])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 在线上是</w:t>
            </w:r>
            <w:r>
              <w:rPr>
                <w:rFonts w:ascii="Microsoft YaHei" w:cs="Microsoft YaHei" w:eastAsia="Microsoft YaHei" w:hAnsi="Microsoft YaHei"/>
                <w:b/>
                <w:bCs/>
                <w:color w:val="4A3B12"/>
                <w:sz w:val="19"/>
                <w:szCs w:val="19"/>
              </w:rPr>
              <w:t xml:space="preserve">直接写的，没有包容错函数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。如果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7"/>
                <w:szCs w:val="17"/>
              </w:rPr>
              <w:t xml:space="preserve">[材质分类]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 为空或是「无注明」，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7"/>
                <w:szCs w:val="17"/>
              </w:rPr>
              <w:t xml:space="preserve">FIND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 会返回错误值，从而影响该条的分类结果。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建议在配置到自己的表时改写成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7"/>
                <w:szCs w:val="17"/>
              </w:rPr>
              <w:t xml:space="preserve">IFERROR(FIND("人造石",[材质分类]), 0) &gt; 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，这样材质未填的记录会安稳落到 C/D/无分类，而不是变成一个错误值。</w:t>
            </w:r>
          </w:p>
          <w:p>
            <w:pPr>
              <w:spacing w:after="6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另：B 类依赖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7"/>
                <w:szCs w:val="17"/>
              </w:rPr>
              <w:t xml:space="preserve">[材质分类]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 有值——</w:t>
            </w:r>
            <w:r>
              <w:rPr>
                <w:rFonts w:ascii="Microsoft YaHei" w:cs="Microsoft YaHei" w:eastAsia="Microsoft YaHei" w:hAnsi="Microsoft YaHei"/>
                <w:b/>
                <w:bCs/>
                <w:color w:val="4A3B12"/>
                <w:sz w:val="19"/>
                <w:szCs w:val="19"/>
              </w:rPr>
              <w:t xml:space="preserve">属性列（AI 识别列）没填，B 类就识别不出来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3B1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2.9 待补数据项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IF(NOT(有效闸), "", IF(缺项文本 = "", "", LEFT(缺项文本, LEN(缺项文本) - 1)))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其中「缺项文本」是对以下 8 个字段逐个判断后拼接出来的：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月收货人数精确值、材质分类、外形、安装方式、功能、风格、尺寸、适用空间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。 逐个的写法是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IF(该字段为空 或 = "无注明" 或 = "不适用", "字段名、", "")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，再用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CONCATENATE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串起来。最后用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LEFT(..., LEN(...)-1)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去掉结尾多余的那个顿号。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2.10 数据状态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IF(NOT(有效闸), "", IF([待补数据项] = "", "可用", "部分待补"))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2.11 一条设计约束（配置时容易踩的坑）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下游公式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不要引用「是否有效竞品」这个公式字段本身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，而是把「有效闸」那段布尔表达式重新展开一遍。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原因：如果让公式字段互相引用，表格的依赖链会不收敛，重算可能一直排不上或报循环依赖。所以线上把「有效闸」这段拿来做公共子表达式，这也正是单条公式长到几千字符的原因。</w:t>
      </w:r>
    </w:p>
    <w:p>
      <w:pPr>
        <w:pBdr>
          <w:bottom w:val="single" w:color="D9E2F3" w:sz="6" w:space="1"/>
        </w:pBdr>
        <w:spacing w:after="200" w:before="100"/>
      </w:pPr>
    </w:p>
    <w:p>
      <w:pPr>
        <w:pBdr>
          <w:left w:val="single" w:color="2E74B5" w:sz="24" w:space="10"/>
        </w:pBdr>
        <w:spacing w:after="150" w:before="340"/>
        <w:ind w:left="17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三、AI 提示词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5 个属性字段各用一条提示词。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逐字段粘贴，不要把多段合并到一条里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。 使用时把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{{字段}}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占位替换为飞书 AI 字段面板里插入的真实字段引用。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A. 材质分类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只有当是否有效竞品={{是否有效竞品}}为"是"时才分析；否则输出"不适用"。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从商品标题中提取明确材质，只能输出：亚克力、人造石、塑料、陶瓷、钢瓷、铸铁、透明、木、搪瓷。多个材质用中文顿号分隔，没有明确证据时输出"无注明"。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商品标题={{商品标题}}。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运营归类优先级：PMMA、高分子、绮美石、可丽耐、杜邦石、亚克力人造石全部归为"人造石"；单独出现"亚克力"才归为"亚克力"；命中上述人造石别名时不要重复输出"亚克力"。不得推断标题未提供的材质。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B. 外形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只有当是否有效竞品={{是否有效竞品}}为"是"时才分析；否则输出"不适用"。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从商品标题={{商品标题}}中提取明确外形，只能输出：椭圆、方形、蛋形、异形、正圆。长方形统一归入方形。多个值用中文顿号分隔；没有明确证据时输出"无注明"。只提取标题文字，不得推断。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C. 安装方式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只有当是否有效竞品={{是否有效竞品}}为"是"时才分析；否则输出"不适用"。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从商品标题={{商品标题}}中提取明确安装方式，只能输出：独立、嵌入、靠墙、台上/搁置。独立式归独立，嵌入式、内嵌式归嵌入，靠墙式归靠墙，台上式、搁置式归台上/搁置。多个值用中文顿号分隔；没有明确证据时输出"无注明"。不得根据常识推断。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D. 功能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只有当是否有效竞品={{是否有效竞品}}为"是"时才分析；否则输出"不适用"。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从商品标题={{商品标题}}和卖点={{卖点}}中提取明确功能，只能输出：普通、按摩、智能、恒温。冲浪、水疗、气泡按摩、空气按摩统一归入按摩；加热、保温不自动归入恒温。多个值用中文顿号分隔；没有明确证据时输出"无注明"。"普通"仅在标题明确写出普通浴缸时输出，不得用缺少其他功能反推普通。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E. 风格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只有当是否有效竞品={{是否有效竞品}}为"是"时才分析；否则输出"不适用"。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从商品标题={{商品标题}}中提取明确风格，只能输出：极简、奶油、日式、轻奢。极简风、简约、简约风、现代简约、现代简约风归极简；奶油风、奶油系归奶油；日系、和风归日式；轻奢风归轻奢。侘寂、原木、北欧不归日式；高端、豪华、奢华不归轻奢；"现代"单独出现不归极简。多个值用中文顿号分隔；没有明确证据时输出"无注明"。不得推断。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三条提示词共用的骨架（改写时别拆掉）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有效性门控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：先看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是否有效竞品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，不是「是」就输出「不适用」，不分析。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只取明确文字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：只从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商品标题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里明确写出的文字取标签（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功能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额外允许看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卖点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）。不凭图片猜、不凭常识补、不推断。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归一到受控词表 + 无证据兜底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：命中后归一化到词表内的值；标题里没有明确证据就输出「无注明」；多个值用中文顿号分隔。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关于「尺寸」「适用空间」两个字段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早期为这两个字段写过 AI 提示词，但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当前线上这两个字段是汇总（Lookup）字段，不是文本 AI 字段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，所以那两条提示词当前不生效。提示词内容保留如下，仅作为将来若改回 AI 提取形态时的成文口径：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6"/>
      </w:tblGrid>
      <w:tr>
        <w:tc>
          <w:tcPr>
            <w:tcW w:type="dxa" w:w="10026"/>
            <w:tcBorders>
              <w:top w:val="single" w:color="E4E4E4" w:sz="1"/>
              <w:left w:val="single" w:color="E4E4E4" w:sz="1"/>
              <w:bottom w:val="single" w:color="E4E4E4" w:sz="1"/>
              <w:right w:val="single" w:color="E4E4E4" w:sz="1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尺寸：从商品标题={{商品标题}}中原样提取明确出现的浴缸尺寸或长宽高，保留数字和单位；多个尺寸用中文顿号分隔。没有明确尺寸时输出"无注明"，不得根据单人、双人、小户型等描述推算尺寸。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292E"/>
                <w:sz w:val="17"/>
                <w:szCs w:val="17"/>
              </w:rPr>
              <w:t xml:space="preserve">适用空间：根据商品标题={{商品标题}}中的明确空间词判断，只能输出：小户型、常规卫生间、大户型。小户型、小空间归为"小户型"；明确"常规卫生间"归为"常规卫生间"；明确"大户型"归为"大户型"。多个值用中文顿号分隔；没有明确证据时输出"无注明"，不得推断。</w:t>
            </w:r>
          </w:p>
        </w:tc>
      </w:tr>
    </w:tbl>
    <w:p>
      <w:pPr>
        <w:pBdr>
          <w:bottom w:val="single" w:color="D9E2F3" w:sz="6" w:space="1"/>
        </w:pBdr>
        <w:spacing w:after="200" w:before="100"/>
      </w:pPr>
    </w:p>
    <w:p>
      <w:pPr>
        <w:pBdr>
          <w:left w:val="single" w:color="2E74B5" w:sz="24" w:space="10"/>
        </w:pBdr>
        <w:spacing w:after="150" w:before="340"/>
        <w:ind w:left="17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四、受控词表与归一化对照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AI 提示词一律要求「归一到受控词表」，下表是把标题里的常见写法换成受控值的对照。这张表是提示词规则的可读版本，改提示词时必须同步改它。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7"/>
        <w:gridCol w:w="7989"/>
      </w:tblGrid>
      <w:tr>
        <w:trPr>
          <w:tblHeader/>
        </w:trPr>
        <w:tc>
          <w:tcPr>
            <w:tcW w:type="dxa" w:w="203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字段</w:t>
            </w:r>
          </w:p>
        </w:tc>
        <w:tc>
          <w:tcPr>
            <w:tcW w:type="dxa" w:w="798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受控词表</w:t>
            </w:r>
          </w:p>
        </w:tc>
      </w:tr>
      <w:tr>
        <w:tc>
          <w:tcPr>
            <w:tcW w:type="dxa" w:w="203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材质分类</w:t>
            </w:r>
          </w:p>
        </w:tc>
        <w:tc>
          <w:tcPr>
            <w:tcW w:type="dxa" w:w="798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亚克力、人造石、塑料、陶瓷、钢瓷、铸铁、透明、木、搪瓷</w:t>
            </w:r>
          </w:p>
        </w:tc>
      </w:tr>
      <w:tr>
        <w:tc>
          <w:tcPr>
            <w:tcW w:type="dxa" w:w="203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外形</w:t>
            </w:r>
          </w:p>
        </w:tc>
        <w:tc>
          <w:tcPr>
            <w:tcW w:type="dxa" w:w="798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椭圆、方形、蛋形、异形、正圆</w:t>
            </w:r>
          </w:p>
        </w:tc>
      </w:tr>
      <w:tr>
        <w:tc>
          <w:tcPr>
            <w:tcW w:type="dxa" w:w="203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安装方式</w:t>
            </w:r>
          </w:p>
        </w:tc>
        <w:tc>
          <w:tcPr>
            <w:tcW w:type="dxa" w:w="798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独立、嵌入、靠墙、台上/搁置</w:t>
            </w:r>
          </w:p>
        </w:tc>
      </w:tr>
      <w:tr>
        <w:tc>
          <w:tcPr>
            <w:tcW w:type="dxa" w:w="203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功能</w:t>
            </w:r>
          </w:p>
        </w:tc>
        <w:tc>
          <w:tcPr>
            <w:tcW w:type="dxa" w:w="798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普通、按摩、智能、恒温</w:t>
            </w:r>
          </w:p>
        </w:tc>
      </w:tr>
      <w:tr>
        <w:tc>
          <w:tcPr>
            <w:tcW w:type="dxa" w:w="2037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风格</w:t>
            </w:r>
          </w:p>
        </w:tc>
        <w:tc>
          <w:tcPr>
            <w:tcW w:type="dxa" w:w="7989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极简、奶油、日式、轻奢</w:t>
            </w:r>
          </w:p>
        </w:tc>
      </w:tr>
    </w:tbl>
    <w:p>
      <w:pPr>
        <w:spacing w:after="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（以上各字段还可输出两个非词表值：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无注明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= 标题里没有明确证据；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不适用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= 该条不是有效竞品。）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5"/>
        <w:gridCol w:w="2701"/>
      </w:tblGrid>
      <w:tr>
        <w:trPr>
          <w:tblHeader/>
        </w:trP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标题里的写法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19"/>
                <w:szCs w:val="19"/>
              </w:rPr>
              <w:t xml:space="preserve">归一结果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长方形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方形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独立式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独立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嵌入式 / 内嵌式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嵌入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靠墙式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靠墙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台上式 / 搁置式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台上/搁置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冲浪 / 水疗 / 气泡按摩 / 空气按摩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按摩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极简风 / 简约 / 简约风 / 现代简约（风）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极简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奶油风 / 奶油系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奶油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日系 / 和风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日式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轻奢风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轻奢</w:t>
            </w:r>
          </w:p>
        </w:tc>
      </w:tr>
      <w:tr>
        <w:tc>
          <w:tcPr>
            <w:tcW w:type="dxa" w:w="732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PMMA / 高分子 / 绮美石 / 可丽耐 / 杜邦石 / 亚克力人造石</w:t>
            </w:r>
          </w:p>
        </w:tc>
        <w:tc>
          <w:tcPr>
            <w:tcW w:type="dxa" w:w="2701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人造石</w:t>
            </w:r>
          </w:p>
        </w:tc>
      </w:tr>
    </w:tbl>
    <w:p>
      <w:pPr>
        <w:spacing w:after="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明确不归类的写法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（防止 AI 过度联想）：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加热、保温 ≠ 恒温；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侘寂、原木、北欧 ≠ 日式；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高端、豪华、奢华 ≠ 轻奢；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单独的「现代」≠ 极简；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「普通」只在标题明确写「普通浴缸」时输出，不用「缺少其他功能」反推；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单独出现「浴盆 / 澡盆 / 洗澡盆」不作为排除依据。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color w:val="2E74B5"/>
          <w:sz w:val="24"/>
          <w:szCs w:val="24"/>
        </w:rPr>
        <w:t xml:space="preserve">材质分类的确定性识别规则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五个属性里，只有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材质分类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有一条不依赖 AI 的确定性规则：在标题中找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最早命中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的材质词，同一位置取更长的那个；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PMMA / 高分子 / 绮美石 / 可丽耐 / 杜邦石 / 亚克力人造石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全部归一为「人造石」（所以「亚克力人造石」判为人造石，不是亚克力）；没有任何命中则输出「无注明」。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抽样校验：用该规则重新推导历史周表已有人工/AI 标注的字段，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一致率约 94%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。需要说明口径——已标注的结果多为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多值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（如「人造石、透明」），而确定性规则只输出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最早命中的单一材质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，剩下不一致的部分主要就是「多值 vs 单值」以及「不适用 → 无注明」这类占位差异。所以准确的说法是：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在「首个材质」这个粒度上一致率约 94%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外形、安装方式、功能、风格这四个没有确定性规则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，它们的值只能来自 AI 或人工，必须把提示词配上才会自动生成。</w:t>
      </w:r>
    </w:p>
    <w:p>
      <w:pPr>
        <w:pBdr>
          <w:bottom w:val="single" w:color="D9E2F3" w:sz="6" w:space="1"/>
        </w:pBdr>
        <w:spacing w:after="200" w:before="100"/>
      </w:pPr>
    </w:p>
    <w:p>
      <w:pPr>
        <w:pBdr>
          <w:left w:val="single" w:color="2E74B5" w:sz="24" w:space="10"/>
        </w:pBdr>
        <w:spacing w:after="150" w:before="340"/>
        <w:ind w:left="17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五、使用边界与待确认事项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属性列需要真正跑起来才有值。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材质分类 / 外形 / 安装方式 / 功能 / 风格五列是 AI 识别列，新建周表时是空列。只有把提示词配置上去（或人工填）才会有值。其中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材质分类为空会直接导致 B-高价值竞品识别不出来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（B 类条件依赖材质分类含「人造石」）。材质分类另有确定性规则可批量填补，其余四列目前只能靠 AI 或人工。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周表同样能看到「还缺什么」。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周表上也有「待补数据项」「数据状态」两个提示字段，按周表自己的数据重算。其中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尺寸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适用空间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是从 SKU 明细汇总来的，这一周还没做 SKU 汇总时它们是空的，所以「待补数据项」会稳定地报出这两项——这是正常提示，不是字段出错。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AI 字段保存会立即批量运行，注意额度。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飞书在保存 AI 字段配置时若对整表立即执行，会一次性消耗大量额度。建议先在少量记录上验证提示词效果，再对全表放开。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4.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安装方式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 的「台上/搁置」已确认保留。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早期需求里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安装方式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只列了「独立、嵌入、靠墙」三项，当前实现多了「台上/搁置」一档（提示词里也额外写了「台上式、搁置式」的归一）。业务已确认保留：采集到的标题里确实有台上式、搁置式浴缸，去掉会把这类商品判成「无注明」。其余三项（外形 / 功能 / 风格）的词表与需求完全一致。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5.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尺寸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适用空间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 当前是汇总字段。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它们从 SKU 明细汇总，不在竞品表手填，前面那两条 AI 提示词也不生效。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公式里的字段引用是写死的。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单条公式逐字段展开后 2500 ~ 8200 字符，全部写死当前表的字段 ID。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复制公式到另一张表会失效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，必须用本文第二节的可读版本重新生成，或按字段引用逐项替换。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7.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竞品分类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 的 B 段建议加容错。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见 §2.8 的配置注意：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FIND("人造石", [材质分类])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在材质为空或为「无注明」时会返回错误值，建议改成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IFERROR(FIND("人造石",[材质分类]), 0) &gt; 0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spacing w:after="80" w:line="310"/>
        <w:ind w:left="540" w:hanging="28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评级完全由公式算，不接受手工改值。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A/B/C/D 全部由 </w:t>
      </w:r>
      <w:r>
        <w:rPr>
          <w:rFonts w:ascii="Consolas" w:cs="Consolas" w:eastAsia="Consolas" w:hAnsi="Consolas"/>
          <w:b w:val="false"/>
          <w:bCs w:val="false"/>
          <w:color w:val="1F4E79"/>
          <w:sz w:val="19"/>
          <w:szCs w:val="19"/>
        </w:rPr>
        <w:t xml:space="preserve">竞品分类</w:t>
      </w: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 公式自动重算；手工覆盖会在下次重算时被冲掉。要调整评级口径，改公式，不改单元格。</w:t>
      </w:r>
    </w:p>
    <w:sectPr>
      <w:headerReference w:type="default" r:id="rId7"/>
      <w:footerReference w:type="default" r:id="rId8"/>
      <w:pgSz w:w="11906" w:h="16838" w:orient="portrait"/>
      <w:pgMar w:top="1134" w:right="940" w:bottom="1134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8C8C8C"/>
        <w:sz w:val="16"/>
        <w:szCs w:val="16"/>
      </w:rPr>
      <w:t xml:space="preserve">2026-09-15  |  第 </w:t>
    </w:r>
    <w:r>
      <w:rPr>
        <w:rFonts w:ascii="Microsoft YaHei" w:cs="Microsoft YaHei" w:eastAsia="Microsoft YaHei" w:hAnsi="Microsoft YaHei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C8C8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C8C8C"/>
        <w:sz w:val="16"/>
        <w:szCs w:val="16"/>
      </w:rPr>
      <w:t xml:space="preserve">浴缸竞品分析 · 字段与配置参考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50"/>
      <w:outlineLvl w:val="1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2026-09-15T13:53:02.351Z</dcterms:created>
  <dcterms:modified xsi:type="dcterms:W3CDTF">2026-09-15T13:53:02.351Z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