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1E3A8A"/>
            <w:tcMar>
              <w:top w:w="700" w:type="dxa"/>
              <w:bottom w:w="700" w:type="dxa"/>
              <w:start w:w="500" w:type="dxa"/>
              <w:end w:w="500" w:type="dxa"/>
            </w:tcMar>
          </w:tcPr>
          <w:p>
            <w:r>
              <w:rPr>
                <w:b/>
                <w:color w:val="FFFFFF"/>
                <w:sz w:val="108"/>
              </w:rPr>
              <w:t>PPMS</w:t>
            </w:r>
          </w:p>
          <w:p>
            <w:r>
              <w:rPr>
                <w:color w:val="BFDBFE"/>
                <w:sz w:val="34"/>
              </w:rPr>
              <w:t>Production Planning &amp; Monitoring System</w:t>
            </w:r>
          </w:p>
          <w:p>
            <w:pPr>
              <w:spacing w:before="520"/>
            </w:pPr>
            <w:r>
              <w:rPr>
                <w:b/>
                <w:color w:val="FFFFFF"/>
                <w:sz w:val="64"/>
              </w:rPr>
              <w:t>User Manual</w:t>
            </w:r>
          </w:p>
          <w:p>
            <w:r>
              <w:rPr>
                <w:color w:val="DBEAFE"/>
                <w:sz w:val="24"/>
              </w:rPr>
              <w:t>Step-by-step guides, tips and recommendations for every screen</w:t>
            </w:r>
          </w:p>
        </w:tc>
      </w:tr>
    </w:tbl>
    <w:p>
      <w:pPr>
        <w:spacing w:after="360"/>
      </w:pP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1814"/>
          </w:tcPr>
          <w:p>
            <w:r>
              <w:rPr>
                <w:b/>
                <w:color w:val="64748B"/>
                <w:sz w:val="17"/>
              </w:rPr>
              <w:t>MODULES</w:t>
            </w:r>
          </w:p>
        </w:tc>
        <w:tc>
          <w:tcPr>
            <w:tcW w:type="dxa" w:w="7370"/>
          </w:tcPr>
          <w:p>
            <w:r>
              <w:rPr>
                <w:sz w:val="21"/>
              </w:rPr>
              <w:t>F200 – KD1 · F200 – KD2 · F100 – KD2</w:t>
            </w:r>
          </w:p>
        </w:tc>
      </w:tr>
      <w:tr>
        <w:tc>
          <w:tcPr>
            <w:tcW w:type="dxa" w:w="1814"/>
          </w:tcPr>
          <w:p>
            <w:r>
              <w:rPr>
                <w:b/>
                <w:color w:val="64748B"/>
                <w:sz w:val="17"/>
              </w:rPr>
              <w:t>COVERS</w:t>
            </w:r>
          </w:p>
        </w:tc>
        <w:tc>
          <w:tcPr>
            <w:tcW w:type="dxa" w:w="7370"/>
          </w:tcPr>
          <w:p>
            <w:r>
              <w:rPr>
                <w:sz w:val="21"/>
              </w:rPr>
              <w:t>Viewer — topics a Viewer can use</w:t>
            </w:r>
          </w:p>
        </w:tc>
      </w:tr>
      <w:tr>
        <w:tc>
          <w:tcPr>
            <w:tcW w:type="dxa" w:w="1814"/>
          </w:tcPr>
          <w:p>
            <w:r>
              <w:rPr>
                <w:b/>
                <w:color w:val="64748B"/>
                <w:sz w:val="17"/>
              </w:rPr>
              <w:t>EDITION</w:t>
            </w:r>
          </w:p>
        </w:tc>
        <w:tc>
          <w:tcPr>
            <w:tcW w:type="dxa" w:w="7370"/>
          </w:tcPr>
          <w:p>
            <w:r>
              <w:rPr>
                <w:sz w:val="21"/>
              </w:rPr>
              <w:t>07 October 2026</w:t>
            </w:r>
          </w:p>
        </w:tc>
      </w:tr>
    </w:tbl>
    <w:p>
      <w:r>
        <w:br w:type="page"/>
      </w:r>
    </w:p>
    <w:p>
      <w:pPr>
        <w:pStyle w:val="Heading1"/>
      </w:pPr>
      <w:r>
        <w:t>About this manual</w:t>
      </w:r>
    </w:p>
    <w:p>
      <w:r>
        <w:rPr>
          <w:b w:val="0"/>
          <w:i w:val="0"/>
        </w:rPr>
        <w:t>This manual explains how to use PPMS, chapter by chapter, in the same order as the screen. Every topic says who can use it and which module it applies to, explains what it does, and then gives numbered steps. Where it helps, you will also find these boxes:</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Handy extra information and shortcuts.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How we recommend using the feature — good practice from daily use.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Something to watch out for, such as an action that cannot be undone.</w:t>
            </w:r>
          </w:p>
        </w:tc>
      </w:tr>
    </w:tbl>
    <w:p>
      <w:pPr>
        <w:spacing w:after="40"/>
      </w:pPr>
    </w:p>
    <w:p>
      <w:r>
        <w:rPr>
          <w:b w:val="0"/>
          <w:i/>
          <w:color w:val="64748B"/>
          <w:sz w:val="19"/>
        </w:rPr>
        <w:t>The same manual is built into PPMS: open the menu (☰) → Help &amp; User Manual, where it can be searched and filtered to your role. For a quick visual introduction, choose ☰ → Guided tour. Screens are shown in the Light theme.</w:t>
      </w:r>
    </w:p>
    <w:p>
      <w:r>
        <w:br w:type="page"/>
      </w:r>
    </w:p>
    <w:p>
      <w:pPr>
        <w:pStyle w:val="Heading1"/>
      </w:pPr>
      <w:r>
        <w:t>Quick reference</w:t>
      </w:r>
    </w:p>
    <w:p>
      <w:pPr>
        <w:pStyle w:val="Heading3"/>
      </w:pPr>
      <w:r>
        <w:t>What each role can do</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4649"/>
            <w:shd w:val="clear" w:color="auto" w:fill="1E3A8A"/>
            <w:tcMar>
              <w:top w:w="70" w:type="dxa"/>
              <w:bottom w:w="70" w:type="dxa"/>
              <w:start w:w="110" w:type="dxa"/>
              <w:end w:w="110" w:type="dxa"/>
            </w:tcMar>
          </w:tcPr>
          <w:p>
            <w:pPr>
              <w:spacing w:after="0"/>
            </w:pPr>
            <w:r>
              <w:rPr>
                <w:b/>
                <w:color w:val="FFFFFF"/>
                <w:sz w:val="18"/>
              </w:rPr>
              <w:t>Action</w:t>
            </w:r>
          </w:p>
        </w:tc>
        <w:tc>
          <w:tcPr>
            <w:tcW w:type="dxa" w:w="1134"/>
            <w:shd w:val="clear" w:color="auto" w:fill="1E3A8A"/>
            <w:tcMar>
              <w:top w:w="70" w:type="dxa"/>
              <w:bottom w:w="70" w:type="dxa"/>
              <w:start w:w="110" w:type="dxa"/>
              <w:end w:w="110" w:type="dxa"/>
            </w:tcMar>
          </w:tcPr>
          <w:p>
            <w:pPr>
              <w:spacing w:after="0"/>
            </w:pPr>
            <w:r>
              <w:rPr>
                <w:b/>
                <w:color w:val="FFFFFF"/>
                <w:sz w:val="18"/>
              </w:rPr>
              <w:t>Viewer</w:t>
            </w:r>
          </w:p>
        </w:tc>
        <w:tc>
          <w:tcPr>
            <w:tcW w:type="dxa" w:w="1134"/>
            <w:shd w:val="clear" w:color="auto" w:fill="1E3A8A"/>
            <w:tcMar>
              <w:top w:w="70" w:type="dxa"/>
              <w:bottom w:w="70" w:type="dxa"/>
              <w:start w:w="110" w:type="dxa"/>
              <w:end w:w="110" w:type="dxa"/>
            </w:tcMar>
          </w:tcPr>
          <w:p>
            <w:pPr>
              <w:spacing w:after="0"/>
            </w:pPr>
            <w:r>
              <w:rPr>
                <w:b/>
                <w:color w:val="FFFFFF"/>
                <w:sz w:val="18"/>
              </w:rPr>
              <w:t>Operator</w:t>
            </w:r>
          </w:p>
        </w:tc>
        <w:tc>
          <w:tcPr>
            <w:tcW w:type="dxa" w:w="1134"/>
            <w:shd w:val="clear" w:color="auto" w:fill="1E3A8A"/>
            <w:tcMar>
              <w:top w:w="70" w:type="dxa"/>
              <w:bottom w:w="70" w:type="dxa"/>
              <w:start w:w="110" w:type="dxa"/>
              <w:end w:w="110" w:type="dxa"/>
            </w:tcMar>
          </w:tcPr>
          <w:p>
            <w:pPr>
              <w:spacing w:after="0"/>
            </w:pPr>
            <w:r>
              <w:rPr>
                <w:b/>
                <w:color w:val="FFFFFF"/>
                <w:sz w:val="18"/>
              </w:rPr>
              <w:t>Planner</w:t>
            </w:r>
          </w:p>
        </w:tc>
        <w:tc>
          <w:tcPr>
            <w:tcW w:type="dxa" w:w="1474"/>
            <w:shd w:val="clear" w:color="auto" w:fill="1E3A8A"/>
            <w:tcMar>
              <w:top w:w="70" w:type="dxa"/>
              <w:bottom w:w="70" w:type="dxa"/>
              <w:start w:w="110" w:type="dxa"/>
              <w:end w:w="110" w:type="dxa"/>
            </w:tcMar>
          </w:tcPr>
          <w:p>
            <w:pPr>
              <w:spacing w:after="0"/>
            </w:pPr>
            <w:r>
              <w:rPr>
                <w:b/>
                <w:color w:val="FFFFFF"/>
                <w:sz w:val="18"/>
              </w:rPr>
              <w:t>Master Admin</w:t>
            </w:r>
          </w:p>
        </w:tc>
      </w:tr>
      <w:tr>
        <w:tc>
          <w:tcPr>
            <w:tcW w:type="dxa" w:w="4649"/>
            <w:tcMar>
              <w:top w:w="60" w:type="dxa"/>
              <w:bottom w:w="60" w:type="dxa"/>
              <w:start w:w="110" w:type="dxa"/>
              <w:end w:w="110" w:type="dxa"/>
            </w:tcMar>
          </w:tcPr>
          <w:p>
            <w:pPr>
              <w:spacing w:after="0"/>
            </w:pPr>
            <w:r>
              <w:rPr>
                <w:sz w:val="18"/>
              </w:rPr>
              <w:t>View every screen, filter and the charts</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Export reports (with the "Can export" permission)</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Record actual start and completion dates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Comments, delay reasons and X-ray results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Report and update production issues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Unit Codes and plan versions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Edit the Gantt: move, resize, add, delete blocks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Reorder route, hide or delete processes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Manage Processes, lead times, no-work days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User Management, Audit Log, Active Users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bl>
    <w:p>
      <w:pPr>
        <w:spacing w:after="80"/>
      </w:pPr>
    </w:p>
    <w:p>
      <w:pPr>
        <w:pStyle w:val="Heading3"/>
      </w:pPr>
      <w:r>
        <w:t>Task statuses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Status</w:t>
            </w:r>
          </w:p>
        </w:tc>
        <w:tc>
          <w:tcPr>
            <w:tcW w:type="dxa" w:w="7257"/>
            <w:shd w:val="clear" w:color="auto" w:fill="1E3A8A"/>
            <w:tcMar>
              <w:top w:w="70" w:type="dxa"/>
              <w:bottom w:w="70" w:type="dxa"/>
              <w:start w:w="110" w:type="dxa"/>
              <w:end w:w="110" w:type="dxa"/>
            </w:tcMar>
          </w:tcPr>
          <w:p>
            <w:pPr>
              <w:spacing w:after="0"/>
            </w:pPr>
            <w:r>
              <w:rPr>
                <w:b/>
                <w:color w:val="FFFFFF"/>
                <w:sz w:val="18"/>
              </w:rPr>
              <w:t>Meaning</w:t>
            </w:r>
          </w:p>
        </w:tc>
      </w:tr>
      <w:tr>
        <w:tc>
          <w:tcPr>
            <w:tcW w:type="dxa" w:w="2268"/>
            <w:tcMar>
              <w:top w:w="60" w:type="dxa"/>
              <w:bottom w:w="60" w:type="dxa"/>
              <w:start w:w="110" w:type="dxa"/>
              <w:end w:w="110" w:type="dxa"/>
            </w:tcMar>
            <w:shd w:val="clear" w:color="auto" w:fill="DCFCE7"/>
          </w:tcPr>
          <w:p>
            <w:pPr>
              <w:spacing w:after="0"/>
            </w:pPr>
            <w:r>
              <w:rPr>
                <w:sz w:val="18"/>
              </w:rPr>
              <w:t>Completed</w:t>
            </w:r>
          </w:p>
        </w:tc>
        <w:tc>
          <w:tcPr>
            <w:tcW w:type="dxa" w:w="7257"/>
            <w:tcMar>
              <w:top w:w="60" w:type="dxa"/>
              <w:bottom w:w="60" w:type="dxa"/>
              <w:start w:w="110" w:type="dxa"/>
              <w:end w:w="110" w:type="dxa"/>
            </w:tcMar>
          </w:tcPr>
          <w:p>
            <w:pPr>
              <w:spacing w:after="0"/>
            </w:pPr>
            <w:r>
              <w:rPr>
                <w:sz w:val="18"/>
              </w:rPr>
              <w:t>Finished on or before the planned end date.</w:t>
            </w:r>
          </w:p>
        </w:tc>
      </w:tr>
      <w:tr>
        <w:tc>
          <w:tcPr>
            <w:tcW w:type="dxa" w:w="2268"/>
            <w:tcMar>
              <w:top w:w="60" w:type="dxa"/>
              <w:bottom w:w="60" w:type="dxa"/>
              <w:start w:w="110" w:type="dxa"/>
              <w:end w:w="110" w:type="dxa"/>
            </w:tcMar>
            <w:shd w:val="clear" w:color="auto" w:fill="FFEDD5"/>
          </w:tcPr>
          <w:p>
            <w:pPr>
              <w:spacing w:after="0"/>
            </w:pPr>
            <w:r>
              <w:rPr>
                <w:sz w:val="18"/>
              </w:rPr>
              <w:t>Late Completion</w:t>
            </w:r>
          </w:p>
        </w:tc>
        <w:tc>
          <w:tcPr>
            <w:tcW w:type="dxa" w:w="7257"/>
            <w:tcMar>
              <w:top w:w="60" w:type="dxa"/>
              <w:bottom w:w="60" w:type="dxa"/>
              <w:start w:w="110" w:type="dxa"/>
              <w:end w:w="110" w:type="dxa"/>
            </w:tcMar>
            <w:shd w:val="clear" w:color="auto" w:fill="F8FAFC"/>
          </w:tcPr>
          <w:p>
            <w:pPr>
              <w:spacing w:after="0"/>
            </w:pPr>
            <w:r>
              <w:rPr>
                <w:sz w:val="18"/>
              </w:rPr>
              <w:t>Finished, but after the planned end date.</w:t>
            </w:r>
          </w:p>
        </w:tc>
      </w:tr>
      <w:tr>
        <w:tc>
          <w:tcPr>
            <w:tcW w:type="dxa" w:w="2268"/>
            <w:tcMar>
              <w:top w:w="60" w:type="dxa"/>
              <w:bottom w:w="60" w:type="dxa"/>
              <w:start w:w="110" w:type="dxa"/>
              <w:end w:w="110" w:type="dxa"/>
            </w:tcMar>
            <w:shd w:val="clear" w:color="auto" w:fill="FEF3C7"/>
          </w:tcPr>
          <w:p>
            <w:pPr>
              <w:spacing w:after="0"/>
            </w:pPr>
            <w:r>
              <w:rPr>
                <w:sz w:val="18"/>
              </w:rPr>
              <w:t>In Progress</w:t>
            </w:r>
          </w:p>
        </w:tc>
        <w:tc>
          <w:tcPr>
            <w:tcW w:type="dxa" w:w="7257"/>
            <w:tcMar>
              <w:top w:w="60" w:type="dxa"/>
              <w:bottom w:w="60" w:type="dxa"/>
              <w:start w:w="110" w:type="dxa"/>
              <w:end w:w="110" w:type="dxa"/>
            </w:tcMar>
          </w:tcPr>
          <w:p>
            <w:pPr>
              <w:spacing w:after="0"/>
            </w:pPr>
            <w:r>
              <w:rPr>
                <w:sz w:val="18"/>
              </w:rPr>
              <w:t>Started (actual start recorded) and not finished yet.</w:t>
            </w:r>
          </w:p>
        </w:tc>
      </w:tr>
      <w:tr>
        <w:tc>
          <w:tcPr>
            <w:tcW w:type="dxa" w:w="2268"/>
            <w:tcMar>
              <w:top w:w="60" w:type="dxa"/>
              <w:bottom w:w="60" w:type="dxa"/>
              <w:start w:w="110" w:type="dxa"/>
              <w:end w:w="110" w:type="dxa"/>
            </w:tcMar>
            <w:shd w:val="clear" w:color="auto" w:fill="FEE2E2"/>
          </w:tcPr>
          <w:p>
            <w:pPr>
              <w:spacing w:after="0"/>
            </w:pPr>
            <w:r>
              <w:rPr>
                <w:sz w:val="18"/>
              </w:rPr>
              <w:t>Overdue</w:t>
            </w:r>
          </w:p>
        </w:tc>
        <w:tc>
          <w:tcPr>
            <w:tcW w:type="dxa" w:w="7257"/>
            <w:tcMar>
              <w:top w:w="60" w:type="dxa"/>
              <w:bottom w:w="60" w:type="dxa"/>
              <w:start w:w="110" w:type="dxa"/>
              <w:end w:w="110" w:type="dxa"/>
            </w:tcMar>
            <w:shd w:val="clear" w:color="auto" w:fill="F8FAFC"/>
          </w:tcPr>
          <w:p>
            <w:pPr>
              <w:spacing w:after="0"/>
            </w:pPr>
            <w:r>
              <w:rPr>
                <w:sz w:val="18"/>
              </w:rPr>
              <w:t>Not started and already past the planned end date.</w:t>
            </w:r>
          </w:p>
        </w:tc>
      </w:tr>
      <w:tr>
        <w:tc>
          <w:tcPr>
            <w:tcW w:type="dxa" w:w="2268"/>
            <w:tcMar>
              <w:top w:w="60" w:type="dxa"/>
              <w:bottom w:w="60" w:type="dxa"/>
              <w:start w:w="110" w:type="dxa"/>
              <w:end w:w="110" w:type="dxa"/>
            </w:tcMar>
            <w:shd w:val="clear" w:color="auto" w:fill="DBEAFE"/>
          </w:tcPr>
          <w:p>
            <w:pPr>
              <w:spacing w:after="0"/>
            </w:pPr>
            <w:r>
              <w:rPr>
                <w:sz w:val="18"/>
              </w:rPr>
              <w:t>Planned</w:t>
            </w:r>
          </w:p>
        </w:tc>
        <w:tc>
          <w:tcPr>
            <w:tcW w:type="dxa" w:w="7257"/>
            <w:tcMar>
              <w:top w:w="60" w:type="dxa"/>
              <w:bottom w:w="60" w:type="dxa"/>
              <w:start w:w="110" w:type="dxa"/>
              <w:end w:w="110" w:type="dxa"/>
            </w:tcMar>
          </w:tcPr>
          <w:p>
            <w:pPr>
              <w:spacing w:after="0"/>
            </w:pPr>
            <w:r>
              <w:rPr>
                <w:sz w:val="18"/>
              </w:rPr>
              <w:t>Not started yet and not yet due.</w:t>
            </w:r>
          </w:p>
        </w:tc>
      </w:tr>
    </w:tbl>
    <w:p>
      <w:pPr>
        <w:spacing w:after="80"/>
      </w:pPr>
    </w:p>
    <w:p>
      <w:pPr>
        <w:pStyle w:val="Heading3"/>
      </w:pPr>
      <w:r>
        <w:t>Keyboard shortcuts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Keys</w:t>
            </w:r>
          </w:p>
        </w:tc>
        <w:tc>
          <w:tcPr>
            <w:tcW w:type="dxa" w:w="7257"/>
            <w:shd w:val="clear" w:color="auto" w:fill="1E3A8A"/>
            <w:tcMar>
              <w:top w:w="70" w:type="dxa"/>
              <w:bottom w:w="70" w:type="dxa"/>
              <w:start w:w="110" w:type="dxa"/>
              <w:end w:w="110" w:type="dxa"/>
            </w:tcMar>
          </w:tcPr>
          <w:p>
            <w:pPr>
              <w:spacing w:after="0"/>
            </w:pPr>
            <w:r>
              <w:rPr>
                <w:b/>
                <w:color w:val="FFFFFF"/>
                <w:sz w:val="18"/>
              </w:rPr>
              <w:t>What it does</w:t>
            </w:r>
          </w:p>
        </w:tc>
      </w:tr>
      <w:tr>
        <w:tc>
          <w:tcPr>
            <w:tcW w:type="dxa" w:w="2268"/>
            <w:tcMar>
              <w:top w:w="60" w:type="dxa"/>
              <w:bottom w:w="60" w:type="dxa"/>
              <w:start w:w="110" w:type="dxa"/>
              <w:end w:w="110" w:type="dxa"/>
            </w:tcMar>
          </w:tcPr>
          <w:p>
            <w:pPr>
              <w:spacing w:after="0"/>
            </w:pPr>
            <w:r>
              <w:rPr>
                <w:sz w:val="18"/>
              </w:rPr>
              <w:t>Esc</w:t>
            </w:r>
          </w:p>
        </w:tc>
        <w:tc>
          <w:tcPr>
            <w:tcW w:type="dxa" w:w="7257"/>
            <w:tcMar>
              <w:top w:w="60" w:type="dxa"/>
              <w:bottom w:w="60" w:type="dxa"/>
              <w:start w:w="110" w:type="dxa"/>
              <w:end w:w="110" w:type="dxa"/>
            </w:tcMar>
          </w:tcPr>
          <w:p>
            <w:pPr>
              <w:spacing w:after="0"/>
            </w:pPr>
            <w:r>
              <w:rPr>
                <w:sz w:val="18"/>
              </w:rPr>
              <w:t>Close a dialog, menu, the manual or the guided tour</w:t>
            </w:r>
          </w:p>
        </w:tc>
      </w:tr>
      <w:tr>
        <w:tc>
          <w:tcPr>
            <w:tcW w:type="dxa" w:w="2268"/>
            <w:tcMar>
              <w:top w:w="60" w:type="dxa"/>
              <w:bottom w:w="60" w:type="dxa"/>
              <w:start w:w="110" w:type="dxa"/>
              <w:end w:w="110" w:type="dxa"/>
            </w:tcMar>
            <w:shd w:val="clear" w:color="auto" w:fill="F8FAFC"/>
          </w:tcPr>
          <w:p>
            <w:pPr>
              <w:spacing w:after="0"/>
            </w:pPr>
            <w:r>
              <w:rPr>
                <w:sz w:val="18"/>
              </w:rPr>
              <w:t>Ctrl + Enter</w:t>
            </w:r>
          </w:p>
        </w:tc>
        <w:tc>
          <w:tcPr>
            <w:tcW w:type="dxa" w:w="7257"/>
            <w:tcMar>
              <w:top w:w="60" w:type="dxa"/>
              <w:bottom w:w="60" w:type="dxa"/>
              <w:start w:w="110" w:type="dxa"/>
              <w:end w:w="110" w:type="dxa"/>
            </w:tcMar>
            <w:shd w:val="clear" w:color="auto" w:fill="F8FAFC"/>
          </w:tcPr>
          <w:p>
            <w:pPr>
              <w:spacing w:after="0"/>
            </w:pPr>
            <w:r>
              <w:rPr>
                <w:sz w:val="18"/>
              </w:rPr>
              <w:t>Save the issue you are writing</w:t>
            </w:r>
          </w:p>
        </w:tc>
      </w:tr>
      <w:tr>
        <w:tc>
          <w:tcPr>
            <w:tcW w:type="dxa" w:w="2268"/>
            <w:tcMar>
              <w:top w:w="60" w:type="dxa"/>
              <w:bottom w:w="60" w:type="dxa"/>
              <w:start w:w="110" w:type="dxa"/>
              <w:end w:w="110" w:type="dxa"/>
            </w:tcMar>
          </w:tcPr>
          <w:p>
            <w:pPr>
              <w:spacing w:after="0"/>
            </w:pPr>
            <w:r>
              <w:rPr>
                <w:sz w:val="18"/>
              </w:rPr>
              <w:t>← / →</w:t>
            </w:r>
          </w:p>
        </w:tc>
        <w:tc>
          <w:tcPr>
            <w:tcW w:type="dxa" w:w="7257"/>
            <w:tcMar>
              <w:top w:w="60" w:type="dxa"/>
              <w:bottom w:w="60" w:type="dxa"/>
              <w:start w:w="110" w:type="dxa"/>
              <w:end w:w="110" w:type="dxa"/>
            </w:tcMar>
          </w:tcPr>
          <w:p>
            <w:pPr>
              <w:spacing w:after="0"/>
            </w:pPr>
            <w:r>
              <w:rPr>
                <w:sz w:val="18"/>
              </w:rPr>
              <w:t>Previous / next issue in the issue details · Back / next in the guided tour</w:t>
            </w:r>
          </w:p>
        </w:tc>
      </w:tr>
      <w:tr>
        <w:tc>
          <w:tcPr>
            <w:tcW w:type="dxa" w:w="2268"/>
            <w:tcMar>
              <w:top w:w="60" w:type="dxa"/>
              <w:bottom w:w="60" w:type="dxa"/>
              <w:start w:w="110" w:type="dxa"/>
              <w:end w:w="110" w:type="dxa"/>
            </w:tcMar>
            <w:shd w:val="clear" w:color="auto" w:fill="F8FAFC"/>
          </w:tcPr>
          <w:p>
            <w:pPr>
              <w:spacing w:after="0"/>
            </w:pPr>
            <w:r>
              <w:rPr>
                <w:sz w:val="18"/>
              </w:rPr>
              <w:t>F5</w:t>
            </w:r>
          </w:p>
        </w:tc>
        <w:tc>
          <w:tcPr>
            <w:tcW w:type="dxa" w:w="7257"/>
            <w:tcMar>
              <w:top w:w="60" w:type="dxa"/>
              <w:bottom w:w="60" w:type="dxa"/>
              <w:start w:w="110" w:type="dxa"/>
              <w:end w:w="110" w:type="dxa"/>
            </w:tcMar>
            <w:shd w:val="clear" w:color="auto" w:fill="F8FAFC"/>
          </w:tcPr>
          <w:p>
            <w:pPr>
              <w:spacing w:after="0"/>
            </w:pPr>
            <w:r>
              <w:rPr>
                <w:sz w:val="18"/>
              </w:rPr>
              <w:t>Reload the page</w:t>
            </w:r>
          </w:p>
        </w:tc>
      </w:tr>
      <w:tr>
        <w:tc>
          <w:tcPr>
            <w:tcW w:type="dxa" w:w="2268"/>
            <w:tcMar>
              <w:top w:w="60" w:type="dxa"/>
              <w:bottom w:w="60" w:type="dxa"/>
              <w:start w:w="110" w:type="dxa"/>
              <w:end w:w="110" w:type="dxa"/>
            </w:tcMar>
          </w:tcPr>
          <w:p>
            <w:pPr>
              <w:spacing w:after="0"/>
            </w:pPr>
            <w:r>
              <w:rPr>
                <w:sz w:val="18"/>
              </w:rPr>
              <w:t>Ctrl + Shift + R</w:t>
            </w:r>
          </w:p>
        </w:tc>
        <w:tc>
          <w:tcPr>
            <w:tcW w:type="dxa" w:w="7257"/>
            <w:tcMar>
              <w:top w:w="60" w:type="dxa"/>
              <w:bottom w:w="60" w:type="dxa"/>
              <w:start w:w="110" w:type="dxa"/>
              <w:end w:w="110" w:type="dxa"/>
            </w:tcMar>
          </w:tcPr>
          <w:p>
            <w:pPr>
              <w:spacing w:after="0"/>
            </w:pPr>
            <w:r>
              <w:rPr>
                <w:sz w:val="18"/>
              </w:rPr>
              <w:t>Hard reload — use if the page looks out of date</w:t>
            </w:r>
          </w:p>
        </w:tc>
      </w:tr>
    </w:tbl>
    <w:p>
      <w:r>
        <w:br w:type="page"/>
      </w:r>
    </w:p>
    <w:p>
      <w:pPr>
        <w:pStyle w:val="Heading1"/>
      </w:pPr>
      <w: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spacing w:after="40"/>
      </w:pPr>
      <w:r>
        <w:t>01  Getting Started</w:t>
      </w:r>
    </w:p>
    <w:p>
      <w:pPr>
        <w:spacing w:after="200"/>
      </w:pPr>
      <w:r>
        <w:rPr>
          <w:b w:val="0"/>
          <w:i w:val="0"/>
          <w:color w:val="64748B"/>
          <w:sz w:val="22"/>
        </w:rPr>
        <w:t>Sign in, find your way around the screen and learn what your role allows. New users should start here — or take the guided tour from the menu (☰).</w:t>
      </w:r>
    </w:p>
    <w:p>
      <w:pPr>
        <w:spacing w:after="160"/>
      </w:pPr>
      <w:r>
        <w:rPr>
          <w:b w:val="0"/>
          <w:i/>
          <w:color w:val="64748B"/>
          <w:sz w:val="18"/>
        </w:rPr>
        <w:t>In this chapter: Your first 10 minutes · The guided tour · Signing in · User roles and what they can do · The top bar · Modules: KD1, F200-KD2 and F100-KD2 · Filtering the page</w:t>
      </w:r>
    </w:p>
    <w:p>
      <w:pPr>
        <w:pStyle w:val="Heading2"/>
      </w:pPr>
      <w:r>
        <w:t>Your first 10 minutes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short checklist that gets a new user productive straight away.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Sign in with the email and password the administrator gave you, then change the password from your name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menu (☰) → Guided tour. It walks you around every part of the screen in about two minutes.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the module and plan version at the top (for example F200 – KD2 · KD2 Battalion 1). Everything on the page belongs to that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Filters panel to narrow the page to the battalion, vehicle or units you are responsible for.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Read the Executive Summary and the Delivery card — they tell you where production stands and when delivery is expected.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to the part of the page you work in: the Schedule (planners), the Plan Table (recording actual dates) or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Bookmark the PPMS link and keep this manual one click away: ☰ → Help &amp; User Manual.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Pick a colour theme that is comfortable for long sessions — Light is best for printing screenshots, Dark for the shop floor.</w:t>
            </w:r>
          </w:p>
          <w:p>
            <w:pPr>
              <w:spacing w:after="20"/>
              <w:ind w:left="198" w:hanging="198"/>
            </w:pPr>
            <w:r>
              <w:rPr>
                <w:sz w:val="19"/>
              </w:rPr>
              <w:t>•  Ask the PPMS Assistant (chat bubble, bottom left) whenever you are unsure — it knows this manual.</w:t>
            </w:r>
          </w:p>
        </w:tc>
      </w:tr>
    </w:tbl>
    <w:p>
      <w:pPr>
        <w:spacing w:after="40"/>
      </w:pPr>
    </w:p>
    <w:p>
      <w:pPr>
        <w:spacing w:after="200"/>
      </w:pPr>
      <w:r>
        <w:rPr>
          <w:b/>
          <w:color w:val="1E3A8A"/>
          <w:sz w:val="18"/>
        </w:rPr>
        <w:t xml:space="preserve">See also: </w:t>
      </w:r>
      <w:r>
        <w:rPr>
          <w:i/>
          <w:color w:val="64748B"/>
          <w:sz w:val="18"/>
        </w:rPr>
        <w:t>The guided tour · User roles and what they can do · Filtering the page · Executive Summary</w:t>
      </w:r>
    </w:p>
    <w:p>
      <w:pPr>
        <w:pStyle w:val="Heading2"/>
      </w:pPr>
      <w:r>
        <w:t>The guided tour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interactive walk-through that highlights each part of the screen and explains what it does. Start it any time from the menu (☰) → Guided tour.</w:t>
      </w:r>
    </w:p>
    <w:p>
      <w:pPr>
        <w:spacing w:after="120"/>
      </w:pPr>
      <w:r>
        <w:rPr>
          <w:b w:val="0"/>
          <w:i w:val="0"/>
        </w:rPr>
        <w:t>The tour moves the page for you and spotlights one area at a time — the top bar, filters, summary, schedule, progress matrix, analytics, plan table, issues and the assistant. It only shows the parts that exist for your role and module.</w:t>
      </w:r>
    </w:p>
    <w:p>
      <w:pPr>
        <w:keepNext/>
        <w:jc w:val="center"/>
      </w:pPr>
      <w:r>
        <w:drawing>
          <wp:inline xmlns:a="http://schemas.openxmlformats.org/drawingml/2006/main" xmlns:pic="http://schemas.openxmlformats.org/drawingml/2006/picture">
            <wp:extent cx="5940000" cy="1856250"/>
            <wp:docPr id="1" name="Picture 1"/>
            <wp:cNvGraphicFramePr>
              <a:graphicFrameLocks noChangeAspect="1"/>
            </wp:cNvGraphicFramePr>
            <a:graphic>
              <a:graphicData uri="http://schemas.openxmlformats.org/drawingml/2006/picture">
                <pic:pic>
                  <pic:nvPicPr>
                    <pic:cNvPr id="0" name="tour.jpg"/>
                    <pic:cNvPicPr/>
                  </pic:nvPicPr>
                  <pic:blipFill>
                    <a:blip r:embed="rId11"/>
                    <a:stretch>
                      <a:fillRect/>
                    </a:stretch>
                  </pic:blipFill>
                  <pic:spPr>
                    <a:xfrm>
                      <a:off x="0" y="0"/>
                      <a:ext cx="5940000" cy="1856250"/>
                    </a:xfrm>
                    <a:prstGeom prst="rect"/>
                  </pic:spPr>
                </pic:pic>
              </a:graphicData>
            </a:graphic>
          </wp:inline>
        </w:drawing>
      </w:r>
    </w:p>
    <w:p>
      <w:pPr>
        <w:spacing w:after="160"/>
        <w:jc w:val="center"/>
      </w:pPr>
      <w:r>
        <w:rPr>
          <w:b w:val="0"/>
          <w:i/>
          <w:color w:val="64748B"/>
          <w:sz w:val="17"/>
        </w:rPr>
        <w:t>Figure 1 — The guided tour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at the top right and choose Guided tour.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the card next to the highlighted area and press Next (or the → key) to continue.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Back (←) to go back a step, or Skip tour (Esc) to stop at any time.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Start it again whenever you like — nothing on the page is changed by the tour.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New users are offered the tour once, the first time they open PPMS.</w:t>
            </w:r>
          </w:p>
        </w:tc>
      </w:tr>
    </w:tbl>
    <w:p>
      <w:pPr>
        <w:spacing w:after="40"/>
      </w:pPr>
    </w:p>
    <w:p>
      <w:pPr>
        <w:spacing w:after="200"/>
      </w:pPr>
      <w:r>
        <w:rPr>
          <w:b/>
          <w:color w:val="1E3A8A"/>
          <w:sz w:val="18"/>
        </w:rPr>
        <w:t xml:space="preserve">See also: </w:t>
      </w:r>
      <w:r>
        <w:rPr>
          <w:i/>
          <w:color w:val="64748B"/>
          <w:sz w:val="18"/>
        </w:rPr>
        <w:t>Your first 10 minutes · Help &amp; User Manual</w:t>
      </w:r>
    </w:p>
    <w:p>
      <w:pPr>
        <w:pStyle w:val="Heading2"/>
      </w:pPr>
      <w:r>
        <w:t>Signing in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(Production Planning &amp; Monitoring System) opens on the sign-in page. Use the email and password given to you by the system administrator.</w:t>
      </w:r>
    </w:p>
    <w:p>
      <w:pPr>
        <w:keepNext/>
        <w:jc w:val="center"/>
      </w:pPr>
      <w:r>
        <w:drawing>
          <wp:inline xmlns:a="http://schemas.openxmlformats.org/drawingml/2006/main" xmlns:pic="http://schemas.openxmlformats.org/drawingml/2006/picture">
            <wp:extent cx="5940000" cy="2954847"/>
            <wp:docPr id="2" name="Picture 2"/>
            <wp:cNvGraphicFramePr>
              <a:graphicFrameLocks noChangeAspect="1"/>
            </wp:cNvGraphicFramePr>
            <a:graphic>
              <a:graphicData uri="http://schemas.openxmlformats.org/drawingml/2006/picture">
                <pic:pic>
                  <pic:nvPicPr>
                    <pic:cNvPr id="0" name="sign-in.jpg"/>
                    <pic:cNvPicPr/>
                  </pic:nvPicPr>
                  <pic:blipFill>
                    <a:blip r:embed="rId12"/>
                    <a:stretch>
                      <a:fillRect/>
                    </a:stretch>
                  </pic:blipFill>
                  <pic:spPr>
                    <a:xfrm>
                      <a:off x="0" y="0"/>
                      <a:ext cx="5940000" cy="2954847"/>
                    </a:xfrm>
                    <a:prstGeom prst="rect"/>
                  </pic:spPr>
                </pic:pic>
              </a:graphicData>
            </a:graphic>
          </wp:inline>
        </w:drawing>
      </w:r>
    </w:p>
    <w:p>
      <w:pPr>
        <w:spacing w:after="160"/>
        <w:jc w:val="center"/>
      </w:pPr>
      <w:r>
        <w:rPr>
          <w:b w:val="0"/>
          <w:i/>
          <w:color w:val="64748B"/>
          <w:sz w:val="17"/>
        </w:rPr>
        <w:t>Figure 2 — Signing in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PPMS link in your browser (Chrome or Edge recommended).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If you prefer Korean or Arabic, click the globe button (EN) at the top right and choose 한국어 or العربية — the sign-in page and PPMS switch language.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Enter your email and password, then press Sign In.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your account has access to more than one module, PPMS opens the module you used last.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you see "Your account has been deactivated", contact the administrator.</w:t>
            </w:r>
          </w:p>
          <w:p>
            <w:pPr>
              <w:spacing w:after="20"/>
              <w:ind w:left="198" w:hanging="198"/>
            </w:pPr>
            <w:r>
              <w:rPr>
                <w:sz w:val="19"/>
              </w:rPr>
              <w:t>•  The sun / moon button next to the globe changes the colour theme.</w:t>
            </w:r>
          </w:p>
          <w:p>
            <w:pPr>
              <w:spacing w:after="20"/>
              <w:ind w:left="198" w:hanging="198"/>
            </w:pPr>
            <w:r>
              <w:rPr>
                <w:sz w:val="19"/>
              </w:rPr>
              <w:t>•  You stay signed in while the browser tab is open. Opening PPMS again while still signed in is recorded in the Audit Log as "Opened PPMS — still signed in".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Never share your password. Every change you make is recorded in the Audit Log under your name.</w:t>
            </w:r>
          </w:p>
        </w:tc>
      </w:tr>
    </w:tbl>
    <w:p>
      <w:pPr>
        <w:spacing w:after="40"/>
      </w:pPr>
    </w:p>
    <w:p>
      <w:pPr>
        <w:spacing w:after="200"/>
      </w:pPr>
      <w:r>
        <w:rPr>
          <w:b/>
          <w:color w:val="1E3A8A"/>
          <w:sz w:val="18"/>
        </w:rPr>
        <w:t xml:space="preserve">See also: </w:t>
      </w:r>
      <w:r>
        <w:rPr>
          <w:i/>
          <w:color w:val="64748B"/>
          <w:sz w:val="18"/>
        </w:rPr>
        <w:t>Changing your password · User roles and what they can do · Language — English, Korean, Arabic</w:t>
      </w:r>
    </w:p>
    <w:p>
      <w:pPr>
        <w:pStyle w:val="Heading2"/>
      </w:pPr>
      <w:r>
        <w:t>User roles and what they can do</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account has one role. The role decides which buttons you see — buttons you can't use are simply hidden.</w:t>
      </w:r>
    </w:p>
    <w:p>
      <w:pPr>
        <w:keepNext/>
        <w:jc w:val="center"/>
      </w:pPr>
      <w:r>
        <w:drawing>
          <wp:inline xmlns:a="http://schemas.openxmlformats.org/drawingml/2006/main" xmlns:pic="http://schemas.openxmlformats.org/drawingml/2006/picture">
            <wp:extent cx="3291840" cy="1679171"/>
            <wp:docPr id="3" name="Picture 3"/>
            <wp:cNvGraphicFramePr>
              <a:graphicFrameLocks noChangeAspect="1"/>
            </wp:cNvGraphicFramePr>
            <a:graphic>
              <a:graphicData uri="http://schemas.openxmlformats.org/drawingml/2006/picture">
                <pic:pic>
                  <pic:nvPicPr>
                    <pic:cNvPr id="0" name="roles.jpg"/>
                    <pic:cNvPicPr/>
                  </pic:nvPicPr>
                  <pic:blipFill>
                    <a:blip r:embed="rId13"/>
                    <a:stretch>
                      <a:fillRect/>
                    </a:stretch>
                  </pic:blipFill>
                  <pic:spPr>
                    <a:xfrm>
                      <a:off x="0" y="0"/>
                      <a:ext cx="3291840" cy="1679171"/>
                    </a:xfrm>
                    <a:prstGeom prst="rect"/>
                  </pic:spPr>
                </pic:pic>
              </a:graphicData>
            </a:graphic>
          </wp:inline>
        </w:drawing>
      </w:r>
    </w:p>
    <w:p>
      <w:pPr>
        <w:spacing w:after="160"/>
        <w:jc w:val="center"/>
      </w:pPr>
      <w:r>
        <w:rPr>
          <w:b w:val="0"/>
          <w:i/>
          <w:color w:val="64748B"/>
          <w:sz w:val="17"/>
        </w:rPr>
        <w:t>Figure 3 — User roles and what they can do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Viewer — can see every screen, filter, and (if allowed) export reports. Cannot change data.</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Operator — everything a Viewer can do, plus record actual start and completion dates, comments, delay reasons, X-ray results and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Planner — everything an Operator can do, plus edit the plan itself: move and resize Gantt blocks, add plan blocks, hide or delete processes, manage processes, lead times and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Master Admin — everything, plus User Management, the Audit Log and Active Users.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reports is a separate permission ("Can export") set per user in User Management.</w:t>
            </w:r>
          </w:p>
          <w:p>
            <w:pPr>
              <w:spacing w:after="20"/>
              <w:ind w:left="198" w:hanging="198"/>
            </w:pPr>
            <w:r>
              <w:rPr>
                <w:sz w:val="19"/>
              </w:rPr>
              <w:t>•  Your role is shown under your name at the top right. If an admin changes it, PPMS updates while you are signed in.</w:t>
            </w:r>
          </w:p>
        </w:tc>
      </w:tr>
    </w:tbl>
    <w:p>
      <w:pPr>
        <w:spacing w:after="40"/>
      </w:pPr>
    </w:p>
    <w:p>
      <w:pPr>
        <w:pStyle w:val="Heading2"/>
      </w:pPr>
      <w:r>
        <w:t>The top bar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top bar is always visible. It holds the section links, the module and plan version switch, the version number, notifications, language, theme, the menu and your account.</w:t>
      </w:r>
    </w:p>
    <w:p>
      <w:pPr>
        <w:keepNext/>
        <w:jc w:val="center"/>
      </w:pPr>
      <w:r>
        <w:drawing>
          <wp:inline xmlns:a="http://schemas.openxmlformats.org/drawingml/2006/main" xmlns:pic="http://schemas.openxmlformats.org/drawingml/2006/picture">
            <wp:extent cx="5940000" cy="218599"/>
            <wp:docPr id="4" name="Picture 4"/>
            <wp:cNvGraphicFramePr>
              <a:graphicFrameLocks noChangeAspect="1"/>
            </wp:cNvGraphicFramePr>
            <a:graphic>
              <a:graphicData uri="http://schemas.openxmlformats.org/drawingml/2006/picture">
                <pic:pic>
                  <pic:nvPicPr>
                    <pic:cNvPr id="0" name="header.jpg"/>
                    <pic:cNvPicPr/>
                  </pic:nvPicPr>
                  <pic:blipFill>
                    <a:blip r:embed="rId14"/>
                    <a:stretch>
                      <a:fillRect/>
                    </a:stretch>
                  </pic:blipFill>
                  <pic:spPr>
                    <a:xfrm>
                      <a:off x="0" y="0"/>
                      <a:ext cx="5940000" cy="218599"/>
                    </a:xfrm>
                    <a:prstGeom prst="rect"/>
                  </pic:spPr>
                </pic:pic>
              </a:graphicData>
            </a:graphic>
          </wp:inline>
        </w:drawing>
      </w:r>
    </w:p>
    <w:p>
      <w:pPr>
        <w:spacing w:after="160"/>
        <w:jc w:val="center"/>
      </w:pPr>
      <w:r>
        <w:rPr>
          <w:b w:val="0"/>
          <w:i/>
          <w:color w:val="64748B"/>
          <w:sz w:val="17"/>
        </w:rPr>
        <w:t>Figure 4 — The top bar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Section links — Summary, Schedule, Progress, Analytics, Plan Table and Issues — scroll the page to that section; the current one is underlined.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Module switch — choose F200 – KD1, F200 – KD2 or F100 – KD2. The page reloads for that module.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 version switch — choose which active version of the plan you are looking at.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Version number (e.g. ✓ v158) — the PPMS version you are running. It blinks orange when a newer version is available.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Bell — notifications about new comments, new or updated issues, and plan changes.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People icon (Master Admin) — who is online now, live (see Active Users).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Globe (EN / 한 / ع) — the interface language: English, Korean or Arabic.</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Sun / moon icon — choose a colour theme.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Menu (☰) — Help &amp; User Manual, Guided tour, and — depending on your role — Audit Log, Unit Codes, User Management, Manage Processes and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Your name — change your password or sign out. The green dot next to the clock shows the live connection.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Hover any button or icon for a short description — PPMS shows it in a small card.</w:t>
            </w:r>
          </w:p>
        </w:tc>
      </w:tr>
    </w:tbl>
    <w:p>
      <w:pPr>
        <w:spacing w:after="40"/>
      </w:pPr>
    </w:p>
    <w:p>
      <w:pPr>
        <w:spacing w:after="200"/>
      </w:pPr>
      <w:r>
        <w:rPr>
          <w:b/>
          <w:color w:val="1E3A8A"/>
          <w:sz w:val="18"/>
        </w:rPr>
        <w:t xml:space="preserve">See also: </w:t>
      </w:r>
      <w:r>
        <w:rPr>
          <w:i/>
          <w:color w:val="64748B"/>
          <w:sz w:val="18"/>
        </w:rPr>
        <w:t>Modules: KD1, F200-KD2 and F100-KD2 · Keeping PPMS up to date · Notifications · Colour themes · Language — English, Korean, Arabic</w:t>
      </w:r>
    </w:p>
    <w:p>
      <w:pPr>
        <w:pStyle w:val="Heading2"/>
      </w:pPr>
      <w:r>
        <w:t>Modules: KD1, F200-KD2 and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holds three separate plans. Each module has its own plan, versions, units and issues.</w:t>
      </w:r>
    </w:p>
    <w:p>
      <w:pPr>
        <w:keepNext/>
        <w:jc w:val="center"/>
      </w:pPr>
      <w:r>
        <w:drawing>
          <wp:inline xmlns:a="http://schemas.openxmlformats.org/drawingml/2006/main" xmlns:pic="http://schemas.openxmlformats.org/drawingml/2006/picture">
            <wp:extent cx="5940000" cy="1914610"/>
            <wp:docPr id="5" name="Picture 5"/>
            <wp:cNvGraphicFramePr>
              <a:graphicFrameLocks noChangeAspect="1"/>
            </wp:cNvGraphicFramePr>
            <a:graphic>
              <a:graphicData uri="http://schemas.openxmlformats.org/drawingml/2006/picture">
                <pic:pic>
                  <pic:nvPicPr>
                    <pic:cNvPr id="0" name="modules.jpg"/>
                    <pic:cNvPicPr/>
                  </pic:nvPicPr>
                  <pic:blipFill>
                    <a:blip r:embed="rId15"/>
                    <a:stretch>
                      <a:fillRect/>
                    </a:stretch>
                  </pic:blipFill>
                  <pic:spPr>
                    <a:xfrm>
                      <a:off x="0" y="0"/>
                      <a:ext cx="5940000" cy="1914610"/>
                    </a:xfrm>
                    <a:prstGeom prst="rect"/>
                  </pic:spPr>
                </pic:pic>
              </a:graphicData>
            </a:graphic>
          </wp:inline>
        </w:drawing>
      </w:r>
    </w:p>
    <w:p>
      <w:pPr>
        <w:spacing w:after="160"/>
        <w:jc w:val="center"/>
      </w:pPr>
      <w:r>
        <w:rPr>
          <w:b w:val="0"/>
          <w:i/>
          <w:color w:val="64748B"/>
          <w:sz w:val="17"/>
        </w:rPr>
        <w:t>Figure 5 — Modules: KD1, F200-KD2 and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KD1 — the assembly plan (per vehicle and station).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F200-KD2 — K9, K10 and K11 production per battalion and unit, from Sub weldment through final test.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F100-KD2 — gun and vehicle parts per battalion, with manufacturers (HAS, DOOWON).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Switch module from the module switch in the top bar. Your access to each module is set by the administrator.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Notifications from other modules still reach you; clicking one switches module automatically.</w:t>
            </w:r>
          </w:p>
        </w:tc>
      </w:tr>
    </w:tbl>
    <w:p>
      <w:pPr>
        <w:spacing w:after="40"/>
      </w:pPr>
    </w:p>
    <w:p>
      <w:pPr>
        <w:pStyle w:val="Heading2"/>
      </w:pPr>
      <w:r>
        <w:t>Filtering the page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Filters panel at the top narrows every section of the page at once: the Executive Summary, schedule, progress, charts and plan table.</w:t>
      </w:r>
    </w:p>
    <w:p>
      <w:pPr>
        <w:keepNext/>
        <w:jc w:val="center"/>
      </w:pPr>
      <w:r>
        <w:drawing>
          <wp:inline xmlns:a="http://schemas.openxmlformats.org/drawingml/2006/main" xmlns:pic="http://schemas.openxmlformats.org/drawingml/2006/picture">
            <wp:extent cx="5940000" cy="596964"/>
            <wp:docPr id="6" name="Picture 6"/>
            <wp:cNvGraphicFramePr>
              <a:graphicFrameLocks noChangeAspect="1"/>
            </wp:cNvGraphicFramePr>
            <a:graphic>
              <a:graphicData uri="http://schemas.openxmlformats.org/drawingml/2006/picture">
                <pic:pic>
                  <pic:nvPicPr>
                    <pic:cNvPr id="0" name="filters.jpg"/>
                    <pic:cNvPicPr/>
                  </pic:nvPicPr>
                  <pic:blipFill>
                    <a:blip r:embed="rId16"/>
                    <a:stretch>
                      <a:fillRect/>
                    </a:stretch>
                  </pic:blipFill>
                  <pic:spPr>
                    <a:xfrm>
                      <a:off x="0" y="0"/>
                      <a:ext cx="5940000" cy="596964"/>
                    </a:xfrm>
                    <a:prstGeom prst="rect"/>
                  </pic:spPr>
                </pic:pic>
              </a:graphicData>
            </a:graphic>
          </wp:inline>
        </w:drawing>
      </w:r>
    </w:p>
    <w:p>
      <w:pPr>
        <w:spacing w:after="160"/>
        <w:jc w:val="center"/>
      </w:pPr>
      <w:r>
        <w:rPr>
          <w:b w:val="0"/>
          <w:i/>
          <w:color w:val="64748B"/>
          <w:sz w:val="17"/>
        </w:rPr>
        <w:t>Figure 6 — Filtering the page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one or more values in Vehicle, Battalion, Unit, Category or Week. Each list allows several ticks; a filter that is set turns blue.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a Time frame: All time, Today, This week, This month, or Custom (then pick From and To dates).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Type in Search to find a station, unit or code.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Every active filter appears as a chip next to the Filters title (for example "Vehicle: K9 ×"). Click × on a chip to remove that one filter.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Reset to clear every filter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KD2 unit labels (M1, M2 …) repeat in every battalion. When several battalions are shown, the Unit list includes the battalion.</w:t>
            </w:r>
          </w:p>
          <w:p>
            <w:pPr>
              <w:spacing w:after="20"/>
              <w:ind w:left="198" w:hanging="198"/>
            </w:pPr>
            <w:r>
              <w:rPr>
                <w:sz w:val="19"/>
              </w:rPr>
              <w:t>•  The Plan Table and the Issues table also have their own filter icon in each column header.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"All time" when you look at the delivery date — a short time frame only sees part of each unit's route, so the forecast covers that part only.</w:t>
            </w:r>
          </w:p>
          <w:p>
            <w:pPr>
              <w:spacing w:after="20"/>
              <w:ind w:left="198" w:hanging="198"/>
            </w:pPr>
            <w:r>
              <w:rPr>
                <w:sz w:val="19"/>
              </w:rPr>
              <w:t>•  Filter by your battalion or units first thing in the morning; the choice stays while you work.</w:t>
            </w:r>
          </w:p>
        </w:tc>
      </w:tr>
    </w:tbl>
    <w:p>
      <w:pPr>
        <w:spacing w:after="40"/>
      </w:pPr>
    </w:p>
    <w:p>
      <w:pPr>
        <w:spacing w:after="200"/>
      </w:pPr>
      <w:r>
        <w:rPr>
          <w:b/>
          <w:color w:val="1E3A8A"/>
          <w:sz w:val="18"/>
        </w:rPr>
        <w:t xml:space="preserve">See also: </w:t>
      </w:r>
      <w:r>
        <w:rPr>
          <w:i/>
          <w:color w:val="64748B"/>
          <w:sz w:val="18"/>
        </w:rPr>
        <w:t>Executive Summary · The Plan Table</w:t>
      </w:r>
    </w:p>
    <w:p>
      <w:r>
        <w:br w:type="page"/>
      </w:r>
    </w:p>
    <w:p>
      <w:pPr>
        <w:pStyle w:val="Heading1"/>
        <w:spacing w:after="40"/>
      </w:pPr>
      <w:r>
        <w:t>02  Daily Workflows</w:t>
      </w:r>
    </w:p>
    <w:p>
      <w:pPr>
        <w:spacing w:after="200"/>
      </w:pPr>
      <w:r>
        <w:rPr>
          <w:b w:val="0"/>
          <w:i w:val="0"/>
          <w:color w:val="64748B"/>
          <w:sz w:val="22"/>
        </w:rPr>
        <w:t>Ready-made routines for each kind of user: what to do at the start of a shift, how a planner keeps the plan current, and how management reviews progress.</w:t>
      </w:r>
    </w:p>
    <w:p>
      <w:pPr>
        <w:spacing w:after="160"/>
      </w:pPr>
      <w:r>
        <w:rPr>
          <w:b w:val="0"/>
          <w:i/>
          <w:color w:val="64748B"/>
          <w:sz w:val="18"/>
        </w:rPr>
        <w:t>In this chapter: Management: reviewing progress · Working together on the same plan</w:t>
      </w:r>
    </w:p>
    <w:p>
      <w:pPr>
        <w:pStyle w:val="Heading2"/>
      </w:pPr>
      <w:r>
        <w:t>Management: reviewing progress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Five minutes is enough to know where production stands and what needs a decision.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Executive Summary ring and tiles for overall progress.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Delivery card: planned vs expected delivery and the delay in working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Click it to see which units are furthest behind and which stations are causing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Scan the open Critical / High issues counter in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Generate the Executive Report (PDF or Word) for meetings and email.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the same filters each week so figures are comparable from one review to the next.</w:t>
            </w:r>
          </w:p>
        </w:tc>
      </w:tr>
    </w:tbl>
    <w:p>
      <w:pPr>
        <w:spacing w:after="40"/>
      </w:pPr>
    </w:p>
    <w:p>
      <w:pPr>
        <w:spacing w:after="200"/>
      </w:pPr>
      <w:r>
        <w:rPr>
          <w:b/>
          <w:color w:val="1E3A8A"/>
          <w:sz w:val="18"/>
        </w:rPr>
        <w:t xml:space="preserve">See also: </w:t>
      </w:r>
      <w:r>
        <w:rPr>
          <w:i/>
          <w:color w:val="64748B"/>
          <w:sz w:val="18"/>
        </w:rPr>
        <w:t>Executive Summary · Delivery Delay Analysis · Executive Report</w:t>
      </w:r>
    </w:p>
    <w:p>
      <w:pPr>
        <w:pStyle w:val="Heading2"/>
      </w:pPr>
      <w:r>
        <w:t>Working together on the same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Several people can use and edit PPMS at the same time. Changes appear for everyone within a second or two, without reloading.</w:t>
      </w:r>
    </w:p>
    <w:p>
      <w:pPr>
        <w:spacing w:after="120"/>
      </w:pPr>
      <w:r>
        <w:rPr>
          <w:b w:val="0"/>
          <w:i w:val="0"/>
        </w:rPr>
        <w:t>When another user changes the plan, PPMS fetches only the blocks that changed and updates your screen, with a message such as "Plan updated by Omar". Your own changes never show that message.</w:t>
      </w:r>
    </w:p>
    <w:p>
      <w:pPr>
        <w:spacing w:after="120"/>
      </w:pPr>
      <w:r>
        <w:rPr>
          <w:b w:val="0"/>
          <w:i w:val="0"/>
        </w:rPr>
        <w:t>Planners see who else is editing ("Omar is editing this plan") and, while editing, the Live edits panel lists recent changes from everyone.</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redraw waits until you finish dragging a bar, so a colleague's change never moves a block out from under your mouse.</w:t>
            </w:r>
          </w:p>
          <w:p>
            <w:pPr>
              <w:spacing w:after="20"/>
              <w:ind w:left="198" w:hanging="198"/>
            </w:pPr>
            <w:r>
              <w:rPr>
                <w:sz w:val="19"/>
              </w:rPr>
              <w:t>•  Parts of the page you are not looking at (for example the Plan Table while you work on the Gantt) catch up the moment you scroll to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who edits which battalion or station when two planners re-plan at the same time.</w:t>
            </w:r>
          </w:p>
        </w:tc>
      </w:tr>
    </w:tbl>
    <w:p>
      <w:pPr>
        <w:spacing w:after="40"/>
      </w:pPr>
    </w:p>
    <w:p>
      <w:pPr>
        <w:spacing w:after="200"/>
      </w:pPr>
      <w:r>
        <w:rPr>
          <w:b/>
          <w:color w:val="1E3A8A"/>
          <w:sz w:val="18"/>
        </w:rPr>
        <w:t xml:space="preserve">See also: </w:t>
      </w:r>
      <w:r>
        <w:rPr>
          <w:i/>
          <w:color w:val="64748B"/>
          <w:sz w:val="18"/>
        </w:rPr>
        <w:t>Notifications</w:t>
      </w:r>
    </w:p>
    <w:p>
      <w:r>
        <w:br w:type="page"/>
      </w:r>
    </w:p>
    <w:p>
      <w:pPr>
        <w:pStyle w:val="Heading1"/>
        <w:spacing w:after="40"/>
      </w:pPr>
      <w:r>
        <w:t>03  Dashboard</w:t>
      </w:r>
    </w:p>
    <w:p>
      <w:pPr>
        <w:spacing w:after="200"/>
      </w:pPr>
      <w:r>
        <w:rPr>
          <w:b w:val="0"/>
          <w:i w:val="0"/>
          <w:color w:val="64748B"/>
          <w:sz w:val="22"/>
        </w:rPr>
        <w:t>The top of the page answers "where are we?": the Executive Summary, the delivery forecast and why it may be late, the station-by-station matrix and the analytics charts.</w:t>
      </w:r>
    </w:p>
    <w:p>
      <w:pPr>
        <w:spacing w:after="160"/>
      </w:pPr>
      <w:r>
        <w:rPr>
          <w:b w:val="0"/>
          <w:i/>
          <w:color w:val="64748B"/>
          <w:sz w:val="18"/>
        </w:rPr>
        <w:t>In this chapter: Executive Summary · Delivery Delay Analysis · How the delivery forecast and delays are calculated · Vehicle Production Progress (VPX) · Manufacturing Analytics (charts)</w:t>
      </w:r>
    </w:p>
    <w:p>
      <w:pPr>
        <w:pStyle w:val="Heading2"/>
      </w:pPr>
      <w:r>
        <w:t>Executive Summary</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Executive Summary shows where production stands for the current filters. The label on the right (for example "F200 – KD2 — All data") says exactly what the numbers cover.</w:t>
      </w:r>
    </w:p>
    <w:p>
      <w:pPr>
        <w:keepNext/>
        <w:jc w:val="center"/>
      </w:pPr>
      <w:r>
        <w:drawing>
          <wp:inline xmlns:a="http://schemas.openxmlformats.org/drawingml/2006/main" xmlns:pic="http://schemas.openxmlformats.org/drawingml/2006/picture">
            <wp:extent cx="5940000" cy="1075381"/>
            <wp:docPr id="7" name="Picture 7"/>
            <wp:cNvGraphicFramePr>
              <a:graphicFrameLocks noChangeAspect="1"/>
            </wp:cNvGraphicFramePr>
            <a:graphic>
              <a:graphicData uri="http://schemas.openxmlformats.org/drawingml/2006/picture">
                <pic:pic>
                  <pic:nvPicPr>
                    <pic:cNvPr id="0" name="overview.jpg"/>
                    <pic:cNvPicPr/>
                  </pic:nvPicPr>
                  <pic:blipFill>
                    <a:blip r:embed="rId17"/>
                    <a:stretch>
                      <a:fillRect/>
                    </a:stretch>
                  </pic:blipFill>
                  <pic:spPr>
                    <a:xfrm>
                      <a:off x="0" y="0"/>
                      <a:ext cx="5940000" cy="1075381"/>
                    </a:xfrm>
                    <a:prstGeom prst="rect"/>
                  </pic:spPr>
                </pic:pic>
              </a:graphicData>
            </a:graphic>
          </wp:inline>
        </w:drawing>
      </w:r>
    </w:p>
    <w:p>
      <w:pPr>
        <w:spacing w:after="160"/>
        <w:jc w:val="center"/>
      </w:pPr>
      <w:r>
        <w:rPr>
          <w:b w:val="0"/>
          <w:i/>
          <w:color w:val="64748B"/>
          <w:sz w:val="17"/>
        </w:rPr>
        <w:t>Figure 7 — Executive Summary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use the battalion tabs at the top of the summary — All, or one battalion — to scope the ring, the tiles and the Delivery card.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ring shows the % of planned tasks that are done, with "X of Y planned tasks are done" beside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coloured bar splits every task into On time, Late, In progress, Overdue and Not started, with the count of each.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tiles show Total planned, Completed on time, In progress, Late completion and Overdue. Overdue turns red whenever something is past its planned end.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The Delivery card shows the planned and forecast delivery dates and the delay in working days (wd). Click it for the Delivery Delay Analysis.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done on or before the planned end = Completed; done after it = Late Completion; started but not done = In Progress; not started and past the planned end = Overdue.</w:t>
            </w:r>
          </w:p>
        </w:tc>
      </w:tr>
    </w:tbl>
    <w:p>
      <w:pPr>
        <w:spacing w:after="40"/>
      </w:pPr>
    </w:p>
    <w:p>
      <w:pPr>
        <w:spacing w:after="200"/>
      </w:pPr>
      <w:r>
        <w:rPr>
          <w:b/>
          <w:color w:val="1E3A8A"/>
          <w:sz w:val="18"/>
        </w:rPr>
        <w:t xml:space="preserve">See also: </w:t>
      </w:r>
      <w:r>
        <w:rPr>
          <w:i/>
          <w:color w:val="64748B"/>
          <w:sz w:val="18"/>
        </w:rPr>
        <w:t>Delivery Delay Analysis · How the delivery forecast and delays are calculated</w:t>
      </w:r>
    </w:p>
    <w:p>
      <w:pPr>
        <w:pStyle w:val="Heading2"/>
      </w:pPr>
      <w:r>
        <w:t>Delivery Delay Analysis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Opened from the Delivery card, it explains why delivery may be late, which units are furthest behind and where to act first.</w:t>
      </w:r>
    </w:p>
    <w:p>
      <w:pPr>
        <w:keepNext/>
        <w:jc w:val="center"/>
      </w:pPr>
      <w:r>
        <w:drawing>
          <wp:inline xmlns:a="http://schemas.openxmlformats.org/drawingml/2006/main" xmlns:pic="http://schemas.openxmlformats.org/drawingml/2006/picture">
            <wp:extent cx="5336770" cy="5860472"/>
            <wp:docPr id="8" name="Picture 8"/>
            <wp:cNvGraphicFramePr>
              <a:graphicFrameLocks noChangeAspect="1"/>
            </wp:cNvGraphicFramePr>
            <a:graphic>
              <a:graphicData uri="http://schemas.openxmlformats.org/drawingml/2006/picture">
                <pic:pic>
                  <pic:nvPicPr>
                    <pic:cNvPr id="0" name="delivery-analysis.jpg"/>
                    <pic:cNvPicPr/>
                  </pic:nvPicPr>
                  <pic:blipFill>
                    <a:blip r:embed="rId18"/>
                    <a:stretch>
                      <a:fillRect/>
                    </a:stretch>
                  </pic:blipFill>
                  <pic:spPr>
                    <a:xfrm>
                      <a:off x="0" y="0"/>
                      <a:ext cx="5336770" cy="5860472"/>
                    </a:xfrm>
                    <a:prstGeom prst="rect"/>
                  </pic:spPr>
                </pic:pic>
              </a:graphicData>
            </a:graphic>
          </wp:inline>
        </w:drawing>
      </w:r>
    </w:p>
    <w:p>
      <w:pPr>
        <w:spacing w:after="160"/>
        <w:jc w:val="center"/>
      </w:pPr>
      <w:r>
        <w:rPr>
          <w:b w:val="0"/>
          <w:i/>
          <w:color w:val="64748B"/>
          <w:sz w:val="17"/>
        </w:rPr>
        <w:t>Figure 8 — Delivery Delay Analysis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Read the verdict at the top — for example "Delivery is expected 27 working days late — 19 Dec 2026 instead of 17 Nov 2026. The biggest cause is MACHINING 1ST/2ND on K9."</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timeline shows planned end against expected end; the counters show how many units are forecast late, how many stations are causing it, and the worst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"Units furthest behind" lists each late unit with its planned and forecast finish.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"Where to act first" ranks the stations adding the most delay to unit finishes right now. Each card shows how many units it is pushing back and how many of those blocks are not finished yet.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Show in Plan Table to filter the table to that station — record actual dates or add delay reasons there. Press View on Schedule to see it on the Gantt.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"All delays by category" lists every contributing station, grouped by category.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To see everything again afterwards, remove the Search chip in the Filters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station that was late long ago but whose delay the plan has since absorbed is not listed — only delay that still reaches a unit's finish counts.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Work the "Where to act first" list from the top: unfinished blocks at the top station recover the most days.</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w:t>
      </w:r>
    </w:p>
    <w:p>
      <w:pPr>
        <w:pStyle w:val="Heading2"/>
      </w:pPr>
      <w:r>
        <w:t>How the delivery forecast and delays are calculated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PPMS forecasts each unit's finish by following its process order from where it stands today. The same forecast drives the Delivery card, the Delivery Delay Analysis, the VPX Station Report, the Executive Report and the Analytics finish chart.</w:t>
      </w:r>
    </w:p>
    <w:p>
      <w:pPr>
        <w:spacing w:after="120"/>
      </w:pPr>
      <w:r>
        <w:rPr>
          <w:b w:val="0"/>
          <w:i w:val="0"/>
        </w:rPr>
        <w:t>Each unit is walked through its stations in route order. Hull and Turret (K9) or Structure (K10/K11) are built in parallel; Assembly &amp; Processing &amp; Testing starts after all of them.</w:t>
      </w:r>
    </w:p>
    <w:p>
      <w:pPr>
        <w:spacing w:after="120"/>
      </w:pPr>
      <w:r>
        <w:rPr>
          <w:b w:val="0"/>
          <w:i w:val="0"/>
        </w:rPr>
        <w:t>A finished station uses its actual completion date. An unfinished station starts no earlier than its planned start, the day after the station(s) before it finish, and today (or on its actual start if it has started), and takes its planned number of working days.</w:t>
      </w:r>
    </w:p>
    <w:p>
      <w:pPr>
        <w:spacing w:after="120"/>
      </w:pPr>
      <w:r>
        <w:rPr>
          <w:b w:val="0"/>
          <w:i w:val="0"/>
        </w:rPr>
        <w:t>A unit's delay is its forecast finish compared with its planned finish. Expected delivery is the latest forecast unit finish. If a station was late but the plan had slack afterwards, that delay is absorbed and no longer counts.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Delivery card for the forecast delivery date and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it to see which units and stations drive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Plan Table "Delay" column for how late each individual block was — that is a separate, historical figure.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Working days exclude Fridays.</w:t>
            </w:r>
          </w:p>
          <w:p>
            <w:pPr>
              <w:spacing w:after="20"/>
              <w:ind w:left="198" w:hanging="198"/>
            </w:pPr>
            <w:r>
              <w:rPr>
                <w:sz w:val="19"/>
              </w:rPr>
              <w:t>•  The forecast follows the filters. With "All time" and no category filter it sees each unit's whole route.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An unfinished station whose planned dates have passed is forecast to start today with its full duration — record actual start dates so the forecast stays realistic.</w:t>
            </w:r>
          </w:p>
        </w:tc>
      </w:tr>
    </w:tbl>
    <w:p>
      <w:pPr>
        <w:spacing w:after="40"/>
      </w:pPr>
    </w:p>
    <w:p>
      <w:pPr>
        <w:spacing w:after="200"/>
      </w:pPr>
      <w:r>
        <w:rPr>
          <w:b/>
          <w:color w:val="1E3A8A"/>
          <w:sz w:val="18"/>
        </w:rPr>
        <w:t xml:space="preserve">See also: </w:t>
      </w:r>
      <w:r>
        <w:rPr>
          <w:i/>
          <w:color w:val="64748B"/>
          <w:sz w:val="18"/>
        </w:rPr>
        <w:t>Delivery Delay Analysis · VPX Station Report</w:t>
      </w:r>
    </w:p>
    <w:p>
      <w:pPr>
        <w:pStyle w:val="Heading2"/>
      </w:pPr>
      <w:r>
        <w:t>Vehicle Production Progress (VPX)</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matrix of every unit: planned against actual for each station, coloured by status. It shows one battalion at a time, because unit labels (M1, M2 …) repeat in every battalion.</w:t>
      </w:r>
    </w:p>
    <w:p>
      <w:pPr>
        <w:keepNext/>
        <w:jc w:val="center"/>
      </w:pPr>
      <w:r>
        <w:drawing>
          <wp:inline xmlns:a="http://schemas.openxmlformats.org/drawingml/2006/main" xmlns:pic="http://schemas.openxmlformats.org/drawingml/2006/picture">
            <wp:extent cx="5940000" cy="2805356"/>
            <wp:docPr id="9" name="Picture 9"/>
            <wp:cNvGraphicFramePr>
              <a:graphicFrameLocks noChangeAspect="1"/>
            </wp:cNvGraphicFramePr>
            <a:graphic>
              <a:graphicData uri="http://schemas.openxmlformats.org/drawingml/2006/picture">
                <pic:pic>
                  <pic:nvPicPr>
                    <pic:cNvPr id="0" name="progress-matrix.jpg"/>
                    <pic:cNvPicPr/>
                  </pic:nvPicPr>
                  <pic:blipFill>
                    <a:blip r:embed="rId19"/>
                    <a:stretch>
                      <a:fillRect/>
                    </a:stretch>
                  </pic:blipFill>
                  <pic:spPr>
                    <a:xfrm>
                      <a:off x="0" y="0"/>
                      <a:ext cx="5940000" cy="2805356"/>
                    </a:xfrm>
                    <a:prstGeom prst="rect"/>
                  </pic:spPr>
                </pic:pic>
              </a:graphicData>
            </a:graphic>
          </wp:inline>
        </w:drawing>
      </w:r>
    </w:p>
    <w:p>
      <w:pPr>
        <w:spacing w:after="160"/>
        <w:jc w:val="center"/>
      </w:pPr>
      <w:r>
        <w:rPr>
          <w:b w:val="0"/>
          <w:i/>
          <w:color w:val="64748B"/>
          <w:sz w:val="17"/>
        </w:rPr>
        <w:t>Figure 9 — Vehicle Production Progress (VPX)</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battalion with the battalion tabs.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 type tab (K9, K10, K11) and the category tab (for example Hull, Turret, Assembly).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Matrix and Station Report views. Station Report adds forecast dates and a Delay column for that component.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Hover a cell for a card with the unit, planned and actual dates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Use Full Screen to see the whole matrix.</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Use Generate Report to export the VPX Station Report.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In the Station Report, red cells are unfinished and past their planned end; they show the forecast finish date. Grey dates are forecasts.</w:t>
            </w:r>
          </w:p>
        </w:tc>
      </w:tr>
    </w:tbl>
    <w:p>
      <w:pPr>
        <w:spacing w:after="40"/>
      </w:pPr>
    </w:p>
    <w:p>
      <w:pPr>
        <w:spacing w:after="200"/>
      </w:pPr>
      <w:r>
        <w:rPr>
          <w:b/>
          <w:color w:val="1E3A8A"/>
          <w:sz w:val="18"/>
        </w:rPr>
        <w:t xml:space="preserve">See also: </w:t>
      </w:r>
      <w:r>
        <w:rPr>
          <w:i/>
          <w:color w:val="64748B"/>
          <w:sz w:val="18"/>
        </w:rPr>
        <w:t>VPX Station Report · How the delivery forecast and delays are calculated</w:t>
      </w:r>
    </w:p>
    <w:p>
      <w:pPr>
        <w:pStyle w:val="Heading2"/>
      </w:pPr>
      <w:r>
        <w:t>Manufacturing Analytics (charts)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Charts that summarise the filtered plan, in three rows. Progress over time: Cumulative Progress, Weekly Throughput and Status Breakdown. Units &amp; delivery: Unit Progress Ranking and Planned vs Expected Finish. Bottlenecks &amp; issues: Station Bottleneck and Issues Trend. Each chart shows a one-line insight worked out from the data.</w:t>
      </w:r>
    </w:p>
    <w:p>
      <w:pPr>
        <w:keepNext/>
        <w:jc w:val="center"/>
      </w:pPr>
      <w:r>
        <w:drawing>
          <wp:inline xmlns:a="http://schemas.openxmlformats.org/drawingml/2006/main" xmlns:pic="http://schemas.openxmlformats.org/drawingml/2006/picture">
            <wp:extent cx="5940000" cy="2664233"/>
            <wp:docPr id="10" name="Picture 10"/>
            <wp:cNvGraphicFramePr>
              <a:graphicFrameLocks noChangeAspect="1"/>
            </wp:cNvGraphicFramePr>
            <a:graphic>
              <a:graphicData uri="http://schemas.openxmlformats.org/drawingml/2006/picture">
                <pic:pic>
                  <pic:nvPicPr>
                    <pic:cNvPr id="0" name="analytics.jpg"/>
                    <pic:cNvPicPr/>
                  </pic:nvPicPr>
                  <pic:blipFill>
                    <a:blip r:embed="rId20"/>
                    <a:stretch>
                      <a:fillRect/>
                    </a:stretch>
                  </pic:blipFill>
                  <pic:spPr>
                    <a:xfrm>
                      <a:off x="0" y="0"/>
                      <a:ext cx="5940000" cy="2664233"/>
                    </a:xfrm>
                    <a:prstGeom prst="rect"/>
                  </pic:spPr>
                </pic:pic>
              </a:graphicData>
            </a:graphic>
          </wp:inline>
        </w:drawing>
      </w:r>
    </w:p>
    <w:p>
      <w:pPr>
        <w:spacing w:after="160"/>
        <w:jc w:val="center"/>
      </w:pPr>
      <w:r>
        <w:rPr>
          <w:b w:val="0"/>
          <w:i/>
          <w:color w:val="64748B"/>
          <w:sz w:val="17"/>
        </w:rPr>
        <w:t>Figure 10 — Manufacturing Analytics (charts)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Scroll to Analytics or click Analytics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small buttons on each chart to change its range, grouping (unit, battalion, vehicle) or view —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Read the insight line under each chart title for the key takeaway; hover the chart for exact values.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expand icon to open a chart full screen — the insight is shown in full there.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All charts follow the filter bar except Issues Trend, which covers the whole module.</w:t>
            </w:r>
          </w:p>
          <w:p>
            <w:pPr>
              <w:spacing w:after="20"/>
              <w:ind w:left="198" w:hanging="198"/>
            </w:pPr>
            <w:r>
              <w:rPr>
                <w:sz w:val="19"/>
              </w:rPr>
              <w:t>•  Planned vs Expected Finish uses the delivery forecast; Station Bottleneck shows each station's own block lateness.</w:t>
            </w:r>
          </w:p>
          <w:p>
            <w:pPr>
              <w:spacing w:after="20"/>
              <w:ind w:left="198" w:hanging="198"/>
            </w:pPr>
            <w:r>
              <w:rPr>
                <w:sz w:val="19"/>
              </w:rPr>
              <w:t>•  Charts draw when you scroll to them, so the rest of the page stays fast.</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w:t>
      </w:r>
    </w:p>
    <w:p>
      <w:r>
        <w:br w:type="page"/>
      </w:r>
    </w:p>
    <w:p>
      <w:pPr>
        <w:pStyle w:val="Heading1"/>
        <w:spacing w:after="40"/>
      </w:pPr>
      <w:r>
        <w:t>04  Schedule (Gantt)</w:t>
      </w:r>
    </w:p>
    <w:p>
      <w:pPr>
        <w:spacing w:after="200"/>
      </w:pPr>
      <w:r>
        <w:rPr>
          <w:b w:val="0"/>
          <w:i w:val="0"/>
          <w:color w:val="64748B"/>
          <w:sz w:val="22"/>
        </w:rPr>
        <w:t>The plan on a calendar. Everyone can read it; planners change it directly on the chart.</w:t>
      </w:r>
    </w:p>
    <w:p>
      <w:pPr>
        <w:spacing w:after="160"/>
      </w:pPr>
      <w:r>
        <w:rPr>
          <w:b w:val="0"/>
          <w:i/>
          <w:color w:val="64748B"/>
          <w:sz w:val="18"/>
        </w:rPr>
        <w:t>In this chapter: Reading the Production Schedule</w:t>
      </w:r>
    </w:p>
    <w:p>
      <w:pPr>
        <w:pStyle w:val="Heading2"/>
      </w:pPr>
      <w:r>
        <w:t>Reading the Production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Gantt chart shows the plan on a calendar. It opens in Process view: one lane per station, with a bar for each unit working at that station.</w:t>
      </w:r>
    </w:p>
    <w:p>
      <w:pPr>
        <w:keepNext/>
        <w:jc w:val="center"/>
      </w:pPr>
      <w:r>
        <w:drawing>
          <wp:inline xmlns:a="http://schemas.openxmlformats.org/drawingml/2006/main" xmlns:pic="http://schemas.openxmlformats.org/drawingml/2006/picture">
            <wp:extent cx="5940000" cy="2775421"/>
            <wp:docPr id="11" name="Picture 11"/>
            <wp:cNvGraphicFramePr>
              <a:graphicFrameLocks noChangeAspect="1"/>
            </wp:cNvGraphicFramePr>
            <a:graphic>
              <a:graphicData uri="http://schemas.openxmlformats.org/drawingml/2006/picture">
                <pic:pic>
                  <pic:nvPicPr>
                    <pic:cNvPr id="0" name="gantt.jpg"/>
                    <pic:cNvPicPr/>
                  </pic:nvPicPr>
                  <pic:blipFill>
                    <a:blip r:embed="rId21"/>
                    <a:stretch>
                      <a:fillRect/>
                    </a:stretch>
                  </pic:blipFill>
                  <pic:spPr>
                    <a:xfrm>
                      <a:off x="0" y="0"/>
                      <a:ext cx="5940000" cy="2775421"/>
                    </a:xfrm>
                    <a:prstGeom prst="rect"/>
                  </pic:spPr>
                </pic:pic>
              </a:graphicData>
            </a:graphic>
          </wp:inline>
        </w:drawing>
      </w:r>
    </w:p>
    <w:p>
      <w:pPr>
        <w:spacing w:after="160"/>
        <w:jc w:val="center"/>
      </w:pPr>
      <w:r>
        <w:rPr>
          <w:b w:val="0"/>
          <w:i/>
          <w:color w:val="64748B"/>
          <w:sz w:val="17"/>
        </w:rPr>
        <w:t>Figure 11 — Reading the Production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choose the battalion with the battalion chips above the chart — PPMS loads only that battalion, so the page stays fast. "Load all battalions" shows every battalion.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date window with From and To, then press Refresh.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Process view (one lane per station) and Unit view (one lane per unit) with the UNIT / PROCESS switch.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Process view, K10 and K11: switch on "K10 + K11 together" to see both vehicles' blocks on the same station rows (K11 blocks have a white left edge).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Unit view: each vehicle row is split into labelled line bands — Hull / Turret / Assembly for K9, Structure / Assembly for K10 and K11 — so each line reads as one sequence.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sideways to move through time; the header shows weeks (FW) and days, Saturdays are shaded and TODAY is marked.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Read the status badge on each block with the key above the chart: ✓ Completed, purple = completed early, blue = completed late, ▶ In progress, ! Overdue (red), plain = Planned.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Hover a block for its card: status, unit, planned and actual dates with working days, delay or expected finish, line and work center.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Use Full Screen for a larger view and Export Schedule to download it (Excel).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process lane shows how many of its blocks are done, e.g. 13/18 (72%).</w:t>
            </w:r>
          </w:p>
          <w:p>
            <w:pPr>
              <w:spacing w:after="20"/>
              <w:ind w:left="198" w:hanging="198"/>
            </w:pPr>
            <w:r>
              <w:rPr>
                <w:sz w:val="19"/>
              </w:rPr>
              <w:t>•  The hover card's "Expected finish" uses the same process-order forecast as the Delivery card.</w:t>
            </w:r>
          </w:p>
        </w:tc>
      </w:tr>
    </w:tbl>
    <w:p>
      <w:pPr>
        <w:spacing w:after="40"/>
      </w:pPr>
    </w:p>
    <w:p>
      <w:pPr>
        <w:spacing w:after="200"/>
      </w:pPr>
      <w:r>
        <w:rPr>
          <w:b/>
          <w:color w:val="1E3A8A"/>
          <w:sz w:val="18"/>
        </w:rPr>
        <w:t xml:space="preserve">See also: </w:t>
      </w:r>
      <w:r>
        <w:rPr>
          <w:i/>
          <w:color w:val="64748B"/>
          <w:sz w:val="18"/>
        </w:rPr>
        <w:t>Filtering the page · How the delivery forecast and delays are calculated</w:t>
      </w:r>
    </w:p>
    <w:p>
      <w:r>
        <w:br w:type="page"/>
      </w:r>
    </w:p>
    <w:p>
      <w:pPr>
        <w:pStyle w:val="Heading1"/>
        <w:spacing w:after="40"/>
      </w:pPr>
      <w:r>
        <w:t>05  Plan Table</w:t>
      </w:r>
    </w:p>
    <w:p>
      <w:pPr>
        <w:spacing w:after="200"/>
      </w:pPr>
      <w:r>
        <w:rPr>
          <w:b w:val="0"/>
          <w:i w:val="0"/>
          <w:color w:val="64748B"/>
          <w:sz w:val="22"/>
        </w:rPr>
        <w:t>Every planned task as a row. This is where the shop floor records what actually happened — start and completion dates, comments, delay reasons and X-ray results.</w:t>
      </w:r>
    </w:p>
    <w:p>
      <w:pPr>
        <w:spacing w:after="160"/>
      </w:pPr>
      <w:r>
        <w:rPr>
          <w:b w:val="0"/>
          <w:i/>
          <w:color w:val="64748B"/>
          <w:sz w:val="18"/>
        </w:rPr>
        <w:t>In this chapter: The Plan Table</w:t>
      </w:r>
    </w:p>
    <w:p>
      <w:pPr>
        <w:pStyle w:val="Heading2"/>
      </w:pPr>
      <w:r>
        <w:t>The Plan Table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planned task as a row: vehicle, unit, station, code, week, planned start and end, actual start, completion date, status, delay and comments.</w:t>
      </w:r>
    </w:p>
    <w:p>
      <w:pPr>
        <w:keepNext/>
        <w:jc w:val="center"/>
      </w:pPr>
      <w:r>
        <w:drawing>
          <wp:inline xmlns:a="http://schemas.openxmlformats.org/drawingml/2006/main" xmlns:pic="http://schemas.openxmlformats.org/drawingml/2006/picture">
            <wp:extent cx="5940000" cy="2360605"/>
            <wp:docPr id="12" name="Picture 12"/>
            <wp:cNvGraphicFramePr>
              <a:graphicFrameLocks noChangeAspect="1"/>
            </wp:cNvGraphicFramePr>
            <a:graphic>
              <a:graphicData uri="http://schemas.openxmlformats.org/drawingml/2006/picture">
                <pic:pic>
                  <pic:nvPicPr>
                    <pic:cNvPr id="0" name="plan-table.jpg"/>
                    <pic:cNvPicPr/>
                  </pic:nvPicPr>
                  <pic:blipFill>
                    <a:blip r:embed="rId22"/>
                    <a:stretch>
                      <a:fillRect/>
                    </a:stretch>
                  </pic:blipFill>
                  <pic:spPr>
                    <a:xfrm>
                      <a:off x="0" y="0"/>
                      <a:ext cx="5940000" cy="2360605"/>
                    </a:xfrm>
                    <a:prstGeom prst="rect"/>
                  </pic:spPr>
                </pic:pic>
              </a:graphicData>
            </a:graphic>
          </wp:inline>
        </w:drawing>
      </w:r>
    </w:p>
    <w:p>
      <w:pPr>
        <w:spacing w:after="160"/>
        <w:jc w:val="center"/>
      </w:pPr>
      <w:r>
        <w:rPr>
          <w:b w:val="0"/>
          <w:i/>
          <w:color w:val="64748B"/>
          <w:sz w:val="17"/>
        </w:rPr>
        <w:t>Figure 12 — The Plan Table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how rows are grouped: Battalion, Vehicle, Unit or Station (KD2).</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any column header to tick the values you want; "Clear column filters" removes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Scroll inside the table — rows load 150 at a time as you scroll, or press "show more" on the last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Full Screen for a larger table and Export Report to download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header shows the total number of records even while only part of them is drawn.</w:t>
            </w:r>
          </w:p>
          <w:p>
            <w:pPr>
              <w:spacing w:after="20"/>
              <w:ind w:left="198" w:hanging="198"/>
            </w:pPr>
            <w:r>
              <w:rPr>
                <w:sz w:val="19"/>
              </w:rPr>
              <w:t>•  Delay shows how late that block is or was, in days; "+5d start" means it started 5 days late.</w:t>
            </w:r>
          </w:p>
        </w:tc>
      </w:tr>
    </w:tbl>
    <w:p>
      <w:pPr>
        <w:spacing w:after="40"/>
      </w:pPr>
    </w:p>
    <w:p>
      <w:pPr>
        <w:spacing w:after="200"/>
      </w:pPr>
      <w:r>
        <w:rPr>
          <w:b/>
          <w:color w:val="1E3A8A"/>
          <w:sz w:val="18"/>
        </w:rPr>
        <w:t xml:space="preserve">See also: </w:t>
      </w:r>
      <w:r>
        <w:rPr>
          <w:i/>
          <w:color w:val="64748B"/>
          <w:sz w:val="18"/>
        </w:rPr>
        <w:t>Export Report (plan data)</w:t>
      </w:r>
    </w:p>
    <w:p>
      <w:r>
        <w:br w:type="page"/>
      </w:r>
    </w:p>
    <w:p>
      <w:pPr>
        <w:pStyle w:val="Heading1"/>
        <w:spacing w:after="40"/>
      </w:pPr>
      <w:r>
        <w:t>06  Production Issues</w:t>
      </w:r>
    </w:p>
    <w:p>
      <w:pPr>
        <w:spacing w:after="200"/>
      </w:pPr>
      <w:r>
        <w:rPr>
          <w:b w:val="0"/>
          <w:i w:val="0"/>
          <w:color w:val="64748B"/>
          <w:sz w:val="22"/>
        </w:rPr>
        <w:t>Report production problems, follow them up to resolution and produce issue reports.</w:t>
      </w:r>
    </w:p>
    <w:p>
      <w:pPr>
        <w:spacing w:after="160"/>
      </w:pPr>
      <w:r>
        <w:rPr>
          <w:b w:val="0"/>
          <w:i/>
          <w:color w:val="64748B"/>
          <w:sz w:val="18"/>
        </w:rPr>
        <w:t>In this chapter: The Production Issues list · Viewing and updating an issue · Generating an issues report</w:t>
      </w:r>
    </w:p>
    <w:p>
      <w:pPr>
        <w:pStyle w:val="Heading2"/>
      </w:pPr>
      <w:r>
        <w:t>The Production Issues list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All production problems reported in the current module, newest first, with counters for Open, In Progress, Resolved and open Critical/High issues.</w:t>
      </w:r>
    </w:p>
    <w:p>
      <w:pPr>
        <w:keepNext/>
        <w:jc w:val="center"/>
      </w:pPr>
      <w:r>
        <w:drawing>
          <wp:inline xmlns:a="http://schemas.openxmlformats.org/drawingml/2006/main" xmlns:pic="http://schemas.openxmlformats.org/drawingml/2006/picture">
            <wp:extent cx="5940000" cy="2727116"/>
            <wp:docPr id="13" name="Picture 13"/>
            <wp:cNvGraphicFramePr>
              <a:graphicFrameLocks noChangeAspect="1"/>
            </wp:cNvGraphicFramePr>
            <a:graphic>
              <a:graphicData uri="http://schemas.openxmlformats.org/drawingml/2006/picture">
                <pic:pic>
                  <pic:nvPicPr>
                    <pic:cNvPr id="0" name="issues-table.jpg"/>
                    <pic:cNvPicPr/>
                  </pic:nvPicPr>
                  <pic:blipFill>
                    <a:blip r:embed="rId23"/>
                    <a:stretch>
                      <a:fillRect/>
                    </a:stretch>
                  </pic:blipFill>
                  <pic:spPr>
                    <a:xfrm>
                      <a:off x="0" y="0"/>
                      <a:ext cx="5940000" cy="2727116"/>
                    </a:xfrm>
                    <a:prstGeom prst="rect"/>
                  </pic:spPr>
                </pic:pic>
              </a:graphicData>
            </a:graphic>
          </wp:inline>
        </w:drawing>
      </w:r>
    </w:p>
    <w:p>
      <w:pPr>
        <w:spacing w:after="160"/>
        <w:jc w:val="center"/>
      </w:pPr>
      <w:r>
        <w:rPr>
          <w:b w:val="0"/>
          <w:i/>
          <w:color w:val="64748B"/>
          <w:sz w:val="17"/>
        </w:rPr>
        <w:t>Figure 13 — The Production Issues list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Use Search and the From / To dates in the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the Category, Priority, Status and Reporter column headers.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Active filters show as chips next to the issue count; click a chip's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Load more at the bottom to see older issues.</w:t>
            </w:r>
          </w:p>
        </w:tc>
      </w:tr>
    </w:tbl>
    <w:p>
      <w:pPr>
        <w:spacing w:after="40"/>
      </w:pPr>
    </w:p>
    <w:p>
      <w:pPr>
        <w:spacing w:after="200"/>
      </w:pPr>
      <w:r>
        <w:rPr>
          <w:b/>
          <w:color w:val="1E3A8A"/>
          <w:sz w:val="18"/>
        </w:rPr>
        <w:t xml:space="preserve">See also: </w:t>
      </w:r>
      <w:r>
        <w:rPr>
          <w:i/>
          <w:color w:val="64748B"/>
          <w:sz w:val="18"/>
        </w:rPr>
        <w:t>Generating an issues report</w:t>
      </w:r>
    </w:p>
    <w:p>
      <w:pPr>
        <w:pStyle w:val="Heading2"/>
      </w:pPr>
      <w:r>
        <w:t>Viewing and updating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Click an issue title or View to see its details: progress (Reported → In Progress → Resolved → Closed), problem, solution, action taken, and who is responsible.</w:t>
      </w:r>
    </w:p>
    <w:p>
      <w:pPr>
        <w:keepNext/>
        <w:jc w:val="center"/>
      </w:pPr>
      <w:r>
        <w:drawing>
          <wp:inline xmlns:a="http://schemas.openxmlformats.org/drawingml/2006/main" xmlns:pic="http://schemas.openxmlformats.org/drawingml/2006/picture">
            <wp:extent cx="5940000" cy="5191774"/>
            <wp:docPr id="14" name="Picture 14"/>
            <wp:cNvGraphicFramePr>
              <a:graphicFrameLocks noChangeAspect="1"/>
            </wp:cNvGraphicFramePr>
            <a:graphic>
              <a:graphicData uri="http://schemas.openxmlformats.org/drawingml/2006/picture">
                <pic:pic>
                  <pic:nvPicPr>
                    <pic:cNvPr id="0" name="issue-details.jpg"/>
                    <pic:cNvPicPr/>
                  </pic:nvPicPr>
                  <pic:blipFill>
                    <a:blip r:embed="rId24"/>
                    <a:stretch>
                      <a:fillRect/>
                    </a:stretch>
                  </pic:blipFill>
                  <pic:spPr>
                    <a:xfrm>
                      <a:off x="0" y="0"/>
                      <a:ext cx="5940000" cy="5191774"/>
                    </a:xfrm>
                    <a:prstGeom prst="rect"/>
                  </pic:spPr>
                </pic:pic>
              </a:graphicData>
            </a:graphic>
          </wp:inline>
        </w:drawing>
      </w:r>
    </w:p>
    <w:p>
      <w:pPr>
        <w:spacing w:after="160"/>
        <w:jc w:val="center"/>
      </w:pPr>
      <w:r>
        <w:rPr>
          <w:b w:val="0"/>
          <w:i/>
          <w:color w:val="64748B"/>
          <w:sz w:val="17"/>
        </w:rPr>
        <w:t>Figure 14 — Viewing and updating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issue title or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Prev / Next (or the ← → keys) to move through the listed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reporter or a Master Admin can press Edit Issue to update it, for example to change the status to Resolved and record the Action Taken.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resolved date is set when an issue first becomes Resolved or Closed and is kept on later edits.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Always fill in Action Taken when resolving — it is what management reads in the Status Report.</w:t>
            </w:r>
          </w:p>
        </w:tc>
      </w:tr>
    </w:tbl>
    <w:p>
      <w:pPr>
        <w:spacing w:after="40"/>
      </w:pPr>
    </w:p>
    <w:p>
      <w:pPr>
        <w:spacing w:after="200"/>
      </w:pPr>
      <w:r>
        <w:rPr>
          <w:b/>
          <w:color w:val="1E3A8A"/>
          <w:sz w:val="18"/>
        </w:rPr>
        <w:t xml:space="preserve">See also: </w:t>
      </w:r>
      <w:r>
        <w:rPr>
          <w:i/>
          <w:color w:val="64748B"/>
          <w:sz w:val="18"/>
        </w:rPr>
        <w:t>Generating an issues report</w:t>
      </w:r>
    </w:p>
    <w:p>
      <w:pPr>
        <w:pStyle w:val="Heading2"/>
      </w:pPr>
      <w:r>
        <w:t>Generating an issues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issues to PDF, Excel or Word. Choose the report, pick which issues, then untick any you want to leave out.</w:t>
      </w:r>
    </w:p>
    <w:p>
      <w:pPr>
        <w:keepNext/>
        <w:jc w:val="center"/>
      </w:pPr>
      <w:r>
        <w:drawing>
          <wp:inline xmlns:a="http://schemas.openxmlformats.org/drawingml/2006/main" xmlns:pic="http://schemas.openxmlformats.org/drawingml/2006/picture">
            <wp:extent cx="5940000" cy="4746977"/>
            <wp:docPr id="15" name="Picture 15"/>
            <wp:cNvGraphicFramePr>
              <a:graphicFrameLocks noChangeAspect="1"/>
            </wp:cNvGraphicFramePr>
            <a:graphic>
              <a:graphicData uri="http://schemas.openxmlformats.org/drawingml/2006/picture">
                <pic:pic>
                  <pic:nvPicPr>
                    <pic:cNvPr id="0" name="issue-report.jpg"/>
                    <pic:cNvPicPr/>
                  </pic:nvPicPr>
                  <pic:blipFill>
                    <a:blip r:embed="rId25"/>
                    <a:stretch>
                      <a:fillRect/>
                    </a:stretch>
                  </pic:blipFill>
                  <pic:spPr>
                    <a:xfrm>
                      <a:off x="0" y="0"/>
                      <a:ext cx="5940000" cy="4746977"/>
                    </a:xfrm>
                    <a:prstGeom prst="rect"/>
                  </pic:spPr>
                </pic:pic>
              </a:graphicData>
            </a:graphic>
          </wp:inline>
        </w:drawing>
      </w:r>
    </w:p>
    <w:p>
      <w:pPr>
        <w:spacing w:after="160"/>
        <w:jc w:val="center"/>
      </w:pPr>
      <w:r>
        <w:rPr>
          <w:b w:val="0"/>
          <w:i/>
          <w:color w:val="64748B"/>
          <w:sz w:val="17"/>
        </w:rPr>
        <w:t>Figure 15 — Generating an issues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Generate Report in the Issues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Step 1 — choose Issue List, By Category, or Status Report (Table or Written report layout).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Step 2 — choose the module scope, period or dates, statuses, categories and other filters. The dialog starts with the Issues table's current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Step 3 — review the list on the right and untick issues to remove them from this report. The database is not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PDF, Excel or Word. Tick "View before downloading" to preview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Report periods: Today, Last 7 days, This month, All time, or Custom dates (From / To).</w:t>
            </w:r>
          </w:p>
        </w:tc>
      </w:tr>
    </w:tbl>
    <w:p>
      <w:pPr>
        <w:spacing w:after="40"/>
      </w:pPr>
    </w:p>
    <w:p>
      <w:pPr>
        <w:spacing w:after="200"/>
      </w:pPr>
      <w:r>
        <w:rPr>
          <w:b/>
          <w:color w:val="1E3A8A"/>
          <w:sz w:val="18"/>
        </w:rPr>
        <w:t xml:space="preserve">See also: </w:t>
      </w:r>
      <w:r>
        <w:rPr>
          <w:i/>
          <w:color w:val="64748B"/>
          <w:sz w:val="18"/>
        </w:rPr>
        <w:t>Executive Report</w:t>
      </w:r>
    </w:p>
    <w:p>
      <w:r>
        <w:br w:type="page"/>
      </w:r>
    </w:p>
    <w:p>
      <w:pPr>
        <w:pStyle w:val="Heading1"/>
        <w:spacing w:after="40"/>
      </w:pPr>
      <w:r>
        <w:t>07  Reports &amp; Exports</w:t>
      </w:r>
    </w:p>
    <w:p>
      <w:pPr>
        <w:spacing w:after="200"/>
      </w:pPr>
      <w:r>
        <w:rPr>
          <w:b w:val="0"/>
          <w:i w:val="0"/>
          <w:color w:val="64748B"/>
          <w:sz w:val="22"/>
        </w:rPr>
        <w:t>Every printable or shareable output: plan exports, the VPX Station Report and the Executive Report for management.</w:t>
      </w:r>
    </w:p>
    <w:p>
      <w:pPr>
        <w:spacing w:after="160"/>
      </w:pPr>
      <w:r>
        <w:rPr>
          <w:b w:val="0"/>
          <w:i/>
          <w:color w:val="64748B"/>
          <w:sz w:val="18"/>
        </w:rPr>
        <w:t>In this chapter: Export Report (plan data) · VPX Station Report · Executive Report</w:t>
      </w:r>
    </w:p>
    <w:p>
      <w:pPr>
        <w:pStyle w:val="Heading2"/>
      </w:pPr>
      <w:r>
        <w:t>Export Report (plan data)</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the plan as PDF, Excel or Word using its own copy of the filters, pre-filled from the filter bar.</w:t>
      </w:r>
    </w:p>
    <w:p>
      <w:pPr>
        <w:keepNext/>
        <w:jc w:val="center"/>
      </w:pPr>
      <w:r>
        <w:drawing>
          <wp:inline xmlns:a="http://schemas.openxmlformats.org/drawingml/2006/main" xmlns:pic="http://schemas.openxmlformats.org/drawingml/2006/picture">
            <wp:extent cx="5486400" cy="5469775"/>
            <wp:docPr id="16" name="Picture 16"/>
            <wp:cNvGraphicFramePr>
              <a:graphicFrameLocks noChangeAspect="1"/>
            </wp:cNvGraphicFramePr>
            <a:graphic>
              <a:graphicData uri="http://schemas.openxmlformats.org/drawingml/2006/picture">
                <pic:pic>
                  <pic:nvPicPr>
                    <pic:cNvPr id="0" name="export-report.jpg"/>
                    <pic:cNvPicPr/>
                  </pic:nvPicPr>
                  <pic:blipFill>
                    <a:blip r:embed="rId26"/>
                    <a:stretch>
                      <a:fillRect/>
                    </a:stretch>
                  </pic:blipFill>
                  <pic:spPr>
                    <a:xfrm>
                      <a:off x="0" y="0"/>
                      <a:ext cx="5486400" cy="5469775"/>
                    </a:xfrm>
                    <a:prstGeom prst="rect"/>
                  </pic:spPr>
                </pic:pic>
              </a:graphicData>
            </a:graphic>
          </wp:inline>
        </w:drawing>
      </w:r>
    </w:p>
    <w:p>
      <w:pPr>
        <w:spacing w:after="160"/>
        <w:jc w:val="center"/>
      </w:pPr>
      <w:r>
        <w:rPr>
          <w:b w:val="0"/>
          <w:i/>
          <w:color w:val="64748B"/>
          <w:sz w:val="17"/>
        </w:rPr>
        <w:t>Figure 16 — Export Report (plan data)</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Export Report in the Plan Table header.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Adjust the report filters (vehicle, battalion, unit, category, week).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the format. Tick "View before exporting" to preview.</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requires the "Can export" permission.</w:t>
            </w:r>
          </w:p>
          <w:p>
            <w:pPr>
              <w:spacing w:after="20"/>
              <w:ind w:left="198" w:hanging="198"/>
            </w:pPr>
            <w:r>
              <w:rPr>
                <w:sz w:val="19"/>
              </w:rPr>
              <w:t>•  Exports always include every matching record, not only the rows drawn on screen.</w:t>
            </w:r>
          </w:p>
        </w:tc>
      </w:tr>
    </w:tbl>
    <w:p>
      <w:pPr>
        <w:spacing w:after="40"/>
      </w:pPr>
    </w:p>
    <w:p>
      <w:pPr>
        <w:spacing w:after="200"/>
      </w:pPr>
      <w:r>
        <w:rPr>
          <w:b/>
          <w:color w:val="1E3A8A"/>
          <w:sz w:val="18"/>
        </w:rPr>
        <w:t xml:space="preserve">See also: </w:t>
      </w:r>
      <w:r>
        <w:rPr>
          <w:i/>
          <w:color w:val="64748B"/>
          <w:sz w:val="18"/>
        </w:rPr>
        <w:t>The Plan Table</w:t>
      </w:r>
    </w:p>
    <w:p>
      <w:pPr>
        <w:pStyle w:val="Heading2"/>
      </w:pPr>
      <w:r>
        <w:t>VPX Station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report of each vehicle with planned, actual and forecast dates, the forecast delay and the delay reason.</w:t>
      </w:r>
    </w:p>
    <w:p>
      <w:pPr>
        <w:keepNext/>
        <w:jc w:val="center"/>
      </w:pPr>
      <w:r>
        <w:drawing>
          <wp:inline xmlns:a="http://schemas.openxmlformats.org/drawingml/2006/main" xmlns:pic="http://schemas.openxmlformats.org/drawingml/2006/picture">
            <wp:extent cx="5486400" cy="2709949"/>
            <wp:docPr id="17" name="Picture 17"/>
            <wp:cNvGraphicFramePr>
              <a:graphicFrameLocks noChangeAspect="1"/>
            </wp:cNvGraphicFramePr>
            <a:graphic>
              <a:graphicData uri="http://schemas.openxmlformats.org/drawingml/2006/picture">
                <pic:pic>
                  <pic:nvPicPr>
                    <pic:cNvPr id="0" name="vpx-report.jpg"/>
                    <pic:cNvPicPr/>
                  </pic:nvPicPr>
                  <pic:blipFill>
                    <a:blip r:embed="rId27"/>
                    <a:stretch>
                      <a:fillRect/>
                    </a:stretch>
                  </pic:blipFill>
                  <pic:spPr>
                    <a:xfrm>
                      <a:off x="0" y="0"/>
                      <a:ext cx="5486400" cy="2709949"/>
                    </a:xfrm>
                    <a:prstGeom prst="rect"/>
                  </pic:spPr>
                </pic:pic>
              </a:graphicData>
            </a:graphic>
          </wp:inline>
        </w:drawing>
      </w:r>
    </w:p>
    <w:p>
      <w:pPr>
        <w:spacing w:after="160"/>
        <w:jc w:val="center"/>
      </w:pPr>
      <w:r>
        <w:rPr>
          <w:b w:val="0"/>
          <w:i/>
          <w:color w:val="64748B"/>
          <w:sz w:val="17"/>
        </w:rPr>
        <w:t>Figure 17 — VPX Station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In Vehicle Production Progress, press Generate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vehicles/segments and the format, then export.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Delay column is the component's forecast delay at its last station, following the process order.</w:t>
            </w:r>
          </w:p>
        </w:tc>
      </w:tr>
    </w:tbl>
    <w:p>
      <w:pPr>
        <w:spacing w:after="40"/>
      </w:pPr>
    </w:p>
    <w:p>
      <w:pPr>
        <w:spacing w:after="200"/>
      </w:pPr>
      <w:r>
        <w:rPr>
          <w:b/>
          <w:color w:val="1E3A8A"/>
          <w:sz w:val="18"/>
        </w:rPr>
        <w:t xml:space="preserve">See also: </w:t>
      </w:r>
      <w:r>
        <w:rPr>
          <w:i/>
          <w:color w:val="64748B"/>
          <w:sz w:val="18"/>
        </w:rPr>
        <w:t>Vehicle Production Progress (VPX) · How the delivery forecast and delays are calculated</w:t>
      </w:r>
    </w:p>
    <w:p>
      <w:pPr>
        <w:pStyle w:val="Heading2"/>
      </w:pPr>
      <w:r>
        <w:t>Executive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One print-friendly document for management: a cover summary (progress, status split and delivery forecast), the VPX Station Report, two pages of Production Insights and the all-time Production Issues Status Report.</w:t>
      </w:r>
    </w:p>
    <w:p>
      <w:pPr>
        <w:keepNext/>
        <w:jc w:val="center"/>
      </w:pPr>
      <w:r>
        <w:drawing>
          <wp:inline xmlns:a="http://schemas.openxmlformats.org/drawingml/2006/main" xmlns:pic="http://schemas.openxmlformats.org/drawingml/2006/picture">
            <wp:extent cx="4488872" cy="4530436"/>
            <wp:docPr id="18" name="Picture 18"/>
            <wp:cNvGraphicFramePr>
              <a:graphicFrameLocks noChangeAspect="1"/>
            </wp:cNvGraphicFramePr>
            <a:graphic>
              <a:graphicData uri="http://schemas.openxmlformats.org/drawingml/2006/picture">
                <pic:pic>
                  <pic:nvPicPr>
                    <pic:cNvPr id="0" name="executive-report.jpg"/>
                    <pic:cNvPicPr/>
                  </pic:nvPicPr>
                  <pic:blipFill>
                    <a:blip r:embed="rId28"/>
                    <a:stretch>
                      <a:fillRect/>
                    </a:stretch>
                  </pic:blipFill>
                  <pic:spPr>
                    <a:xfrm>
                      <a:off x="0" y="0"/>
                      <a:ext cx="4488872" cy="4530436"/>
                    </a:xfrm>
                    <a:prstGeom prst="rect"/>
                  </pic:spPr>
                </pic:pic>
              </a:graphicData>
            </a:graphic>
          </wp:inline>
        </w:drawing>
      </w:r>
    </w:p>
    <w:p>
      <w:pPr>
        <w:spacing w:after="160"/>
        <w:jc w:val="center"/>
      </w:pPr>
      <w:r>
        <w:rPr>
          <w:b w:val="0"/>
          <w:i/>
          <w:color w:val="64748B"/>
          <w:sz w:val="17"/>
        </w:rPr>
        <w:t>Figure 18 — Executive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Executive Report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Under "What's inside", switch off any part you don't need: Cover summary, Station report, Production insights (two pages — where we stand, and where to act) and Production issues status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format: PDF (best for printing and email), Word (editable) or Excel (one sheet per section).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Check the preview, then download.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VPX table fits on one page; the colours are light so the report prints well.</w:t>
            </w:r>
          </w:p>
          <w:p>
            <w:pPr>
              <w:spacing w:after="20"/>
              <w:ind w:left="198" w:hanging="198"/>
            </w:pPr>
            <w:r>
              <w:rPr>
                <w:sz w:val="19"/>
              </w:rPr>
              <w:t>•  Production Insights use the same process-order forecast as the Delivery card and list the units furthest behind and the stations adding the most delay.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Generate it with "All time" and no category filter so the delivery forecast covers every unit's full route.</w:t>
            </w:r>
          </w:p>
        </w:tc>
      </w:tr>
    </w:tbl>
    <w:p>
      <w:pPr>
        <w:spacing w:after="40"/>
      </w:pPr>
    </w:p>
    <w:p>
      <w:pPr>
        <w:spacing w:after="200"/>
      </w:pPr>
      <w:r>
        <w:rPr>
          <w:b/>
          <w:color w:val="1E3A8A"/>
          <w:sz w:val="18"/>
        </w:rPr>
        <w:t xml:space="preserve">See also: </w:t>
      </w:r>
      <w:r>
        <w:rPr>
          <w:i/>
          <w:color w:val="64748B"/>
          <w:sz w:val="18"/>
        </w:rPr>
        <w:t>VPX Station Report · Generating an issues report · Management: reviewing progress</w:t>
      </w:r>
    </w:p>
    <w:p>
      <w:r>
        <w:br w:type="page"/>
      </w:r>
    </w:p>
    <w:p>
      <w:pPr>
        <w:pStyle w:val="Heading1"/>
        <w:spacing w:after="40"/>
      </w:pPr>
      <w:r>
        <w:t>09  F100-KD2</w:t>
      </w:r>
    </w:p>
    <w:p>
      <w:pPr>
        <w:spacing w:after="200"/>
      </w:pPr>
      <w:r>
        <w:rPr>
          <w:b w:val="0"/>
          <w:i w:val="0"/>
          <w:color w:val="64748B"/>
          <w:sz w:val="22"/>
        </w:rPr>
        <w:t>The F100 module for gun and vehicle parts.</w:t>
      </w:r>
    </w:p>
    <w:p>
      <w:pPr>
        <w:spacing w:after="160"/>
      </w:pPr>
      <w:r>
        <w:rPr>
          <w:b w:val="0"/>
          <w:i/>
          <w:color w:val="64748B"/>
          <w:sz w:val="18"/>
        </w:rPr>
        <w:t>In this chapter: Working in F100-KD2</w:t>
      </w:r>
    </w:p>
    <w:p>
      <w:pPr>
        <w:pStyle w:val="Heading2"/>
      </w:pPr>
      <w:r>
        <w:t>Working in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F100-KD2</w:t>
            </w:r>
          </w:p>
        </w:tc>
      </w:tr>
    </w:tbl>
    <w:p>
      <w:pPr>
        <w:spacing w:after="20"/>
      </w:pPr>
    </w:p>
    <w:p>
      <w:pPr>
        <w:spacing w:after="120"/>
      </w:pPr>
      <w:r>
        <w:rPr>
          <w:b w:val="0"/>
          <w:i w:val="0"/>
          <w:sz w:val="22"/>
        </w:rPr>
        <w:t>F100-KD2 tracks gun parts and vehicle parts per battalion and manufacturer.</w:t>
      </w:r>
    </w:p>
    <w:p>
      <w:pPr>
        <w:keepNext/>
        <w:jc w:val="center"/>
      </w:pPr>
      <w:r>
        <w:drawing>
          <wp:inline xmlns:a="http://schemas.openxmlformats.org/drawingml/2006/main" xmlns:pic="http://schemas.openxmlformats.org/drawingml/2006/picture">
            <wp:extent cx="5940000" cy="1678881"/>
            <wp:docPr id="19" name="Picture 19"/>
            <wp:cNvGraphicFramePr>
              <a:graphicFrameLocks noChangeAspect="1"/>
            </wp:cNvGraphicFramePr>
            <a:graphic>
              <a:graphicData uri="http://schemas.openxmlformats.org/drawingml/2006/picture">
                <pic:pic>
                  <pic:nvPicPr>
                    <pic:cNvPr id="0" name="f100.jpg"/>
                    <pic:cNvPicPr/>
                  </pic:nvPicPr>
                  <pic:blipFill>
                    <a:blip r:embed="rId29"/>
                    <a:stretch>
                      <a:fillRect/>
                    </a:stretch>
                  </pic:blipFill>
                  <pic:spPr>
                    <a:xfrm>
                      <a:off x="0" y="0"/>
                      <a:ext cx="5940000" cy="1678881"/>
                    </a:xfrm>
                    <a:prstGeom prst="rect"/>
                  </pic:spPr>
                </pic:pic>
              </a:graphicData>
            </a:graphic>
          </wp:inline>
        </w:drawing>
      </w:r>
    </w:p>
    <w:p>
      <w:pPr>
        <w:spacing w:after="160"/>
        <w:jc w:val="center"/>
      </w:pPr>
      <w:r>
        <w:rPr>
          <w:b w:val="0"/>
          <w:i/>
          <w:color w:val="64748B"/>
          <w:sz w:val="17"/>
        </w:rPr>
        <w:t>Figure 19 — Working in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Mode (gun parts or vehicle parts)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Filter by Battalion, Gun Part, Unit, Manufacturer and Vehicle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actual start and completion dates, notes and comments in the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Planners use Manage Parts &amp; Processes to maintain parts and their process steps.</w:t>
            </w:r>
          </w:p>
        </w:tc>
      </w:tr>
    </w:tbl>
    <w:p>
      <w:pPr>
        <w:spacing w:after="40"/>
      </w:pPr>
    </w:p>
    <w:p>
      <w:r>
        <w:br w:type="page"/>
      </w:r>
    </w:p>
    <w:p>
      <w:pPr>
        <w:pStyle w:val="Heading1"/>
        <w:spacing w:after="40"/>
      </w:pPr>
      <w:r>
        <w:t>11  Personal Settings</w:t>
      </w:r>
    </w:p>
    <w:p>
      <w:pPr>
        <w:spacing w:after="200"/>
      </w:pPr>
      <w:r>
        <w:rPr>
          <w:b w:val="0"/>
          <w:i w:val="0"/>
          <w:color w:val="64748B"/>
          <w:sz w:val="22"/>
        </w:rPr>
        <w:t>Make PPMS yours — themes, notifications, password, updates, the manual and the assistant.</w:t>
      </w:r>
    </w:p>
    <w:p>
      <w:pPr>
        <w:spacing w:after="160"/>
      </w:pPr>
      <w:r>
        <w:rPr>
          <w:b w:val="0"/>
          <w:i/>
          <w:color w:val="64748B"/>
          <w:sz w:val="18"/>
        </w:rPr>
        <w:t>In this chapter: Keeping PPMS up to date · Colour themes · Language — English, Korean, Arabic · Notifications · Changing your password · Help &amp; User Manual · The PPMS Assistant</w:t>
      </w:r>
    </w:p>
    <w:p>
      <w:pPr>
        <w:pStyle w:val="Heading2"/>
      </w:pPr>
      <w:r>
        <w:t>Keeping PPMS up to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version number in the top bar (for example ✓ v138) shows which PPMS version you are running. When a newer version is released it turns orange and blinks, e.g. v137 → v138.</w:t>
      </w:r>
    </w:p>
    <w:p>
      <w:pPr>
        <w:keepNext/>
        <w:jc w:val="center"/>
      </w:pPr>
      <w:r>
        <w:drawing>
          <wp:inline xmlns:a="http://schemas.openxmlformats.org/drawingml/2006/main" xmlns:pic="http://schemas.openxmlformats.org/drawingml/2006/picture">
            <wp:extent cx="2660072" cy="2128058"/>
            <wp:docPr id="20" name="Picture 20"/>
            <wp:cNvGraphicFramePr>
              <a:graphicFrameLocks noChangeAspect="1"/>
            </wp:cNvGraphicFramePr>
            <a:graphic>
              <a:graphicData uri="http://schemas.openxmlformats.org/drawingml/2006/picture">
                <pic:pic>
                  <pic:nvPicPr>
                    <pic:cNvPr id="0" name="version-updates.jpg"/>
                    <pic:cNvPicPr/>
                  </pic:nvPicPr>
                  <pic:blipFill>
                    <a:blip r:embed="rId30"/>
                    <a:stretch>
                      <a:fillRect/>
                    </a:stretch>
                  </pic:blipFill>
                  <pic:spPr>
                    <a:xfrm>
                      <a:off x="0" y="0"/>
                      <a:ext cx="2660072" cy="2128058"/>
                    </a:xfrm>
                    <a:prstGeom prst="rect"/>
                  </pic:spPr>
                </pic:pic>
              </a:graphicData>
            </a:graphic>
          </wp:inline>
        </w:drawing>
      </w:r>
    </w:p>
    <w:p>
      <w:pPr>
        <w:spacing w:after="160"/>
        <w:jc w:val="center"/>
      </w:pPr>
      <w:r>
        <w:rPr>
          <w:b w:val="0"/>
          <w:i/>
          <w:color w:val="64748B"/>
          <w:sz w:val="17"/>
        </w:rPr>
        <w:t>Figure 20 — Keeping PPMS up to date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blinking version number.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"What's new" to see what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any work in progress, then press Load latest version. The page reloads on the new version.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PPMS checks for a new version every few minutes and whenever you return to the tab.</w:t>
            </w:r>
          </w:p>
          <w:p>
            <w:pPr>
              <w:spacing w:after="20"/>
              <w:ind w:left="198" w:hanging="198"/>
            </w:pPr>
            <w:r>
              <w:rPr>
                <w:sz w:val="19"/>
              </w:rPr>
              <w:t>•  If you have unsaved work (the Gantt in edit mode, an open form), PPMS warns you before reloading.</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Update as soon as you see the blinking number so everyone works on the same version.</w:t>
            </w:r>
          </w:p>
        </w:tc>
      </w:tr>
    </w:tbl>
    <w:p>
      <w:pPr>
        <w:spacing w:after="40"/>
      </w:pPr>
    </w:p>
    <w:p>
      <w:pPr>
        <w:pStyle w:val="Heading2"/>
      </w:pPr>
      <w:r>
        <w:t>Colour themes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Choose how PPMS looks: Dark, Light, Nord, Dracula, Midnight, Catppuccin or Crimson Red. Your choice is remembered for your account on this device.</w:t>
      </w:r>
    </w:p>
    <w:p>
      <w:pPr>
        <w:keepNext/>
        <w:jc w:val="center"/>
      </w:pPr>
      <w:r>
        <w:drawing>
          <wp:inline xmlns:a="http://schemas.openxmlformats.org/drawingml/2006/main" xmlns:pic="http://schemas.openxmlformats.org/drawingml/2006/picture">
            <wp:extent cx="5594465" cy="2236123"/>
            <wp:docPr id="21" name="Picture 21"/>
            <wp:cNvGraphicFramePr>
              <a:graphicFrameLocks noChangeAspect="1"/>
            </wp:cNvGraphicFramePr>
            <a:graphic>
              <a:graphicData uri="http://schemas.openxmlformats.org/drawingml/2006/picture">
                <pic:pic>
                  <pic:nvPicPr>
                    <pic:cNvPr id="0" name="themes.jpg"/>
                    <pic:cNvPicPr/>
                  </pic:nvPicPr>
                  <pic:blipFill>
                    <a:blip r:embed="rId31"/>
                    <a:stretch>
                      <a:fillRect/>
                    </a:stretch>
                  </pic:blipFill>
                  <pic:spPr>
                    <a:xfrm>
                      <a:off x="0" y="0"/>
                      <a:ext cx="5594465" cy="2236123"/>
                    </a:xfrm>
                    <a:prstGeom prst="rect"/>
                  </pic:spPr>
                </pic:pic>
              </a:graphicData>
            </a:graphic>
          </wp:inline>
        </w:drawing>
      </w:r>
    </w:p>
    <w:p>
      <w:pPr>
        <w:spacing w:after="160"/>
        <w:jc w:val="center"/>
      </w:pPr>
      <w:r>
        <w:rPr>
          <w:b w:val="0"/>
          <w:i/>
          <w:color w:val="64748B"/>
          <w:sz w:val="17"/>
        </w:rPr>
        <w:t>Figure 21 — Colour themes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theme button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Pick a theme from the list.</w:t>
            </w:r>
          </w:p>
        </w:tc>
      </w:tr>
    </w:tbl>
    <w:p>
      <w:pPr>
        <w:spacing w:after="40"/>
      </w:pPr>
    </w:p>
    <w:p>
      <w:pPr>
        <w:pStyle w:val="Heading2"/>
      </w:pPr>
      <w:r>
        <w:t>Language — English, Korean, Arabic</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can be used in English, Korean (한국어) or Arabic (العربية). Your choice is remembered on this device and on your account.</w:t>
      </w:r>
    </w:p>
    <w:p>
      <w:pPr>
        <w:keepNext/>
        <w:jc w:val="center"/>
      </w:pPr>
      <w:r>
        <w:drawing>
          <wp:inline xmlns:a="http://schemas.openxmlformats.org/drawingml/2006/main" xmlns:pic="http://schemas.openxmlformats.org/drawingml/2006/picture">
            <wp:extent cx="5311832" cy="1396538"/>
            <wp:docPr id="22" name="Picture 22"/>
            <wp:cNvGraphicFramePr>
              <a:graphicFrameLocks noChangeAspect="1"/>
            </wp:cNvGraphicFramePr>
            <a:graphic>
              <a:graphicData uri="http://schemas.openxmlformats.org/drawingml/2006/picture">
                <pic:pic>
                  <pic:nvPicPr>
                    <pic:cNvPr id="0" name="language.jpg"/>
                    <pic:cNvPicPr/>
                  </pic:nvPicPr>
                  <pic:blipFill>
                    <a:blip r:embed="rId32"/>
                    <a:stretch>
                      <a:fillRect/>
                    </a:stretch>
                  </pic:blipFill>
                  <pic:spPr>
                    <a:xfrm>
                      <a:off x="0" y="0"/>
                      <a:ext cx="5311832" cy="1396538"/>
                    </a:xfrm>
                    <a:prstGeom prst="rect"/>
                  </pic:spPr>
                </pic:pic>
              </a:graphicData>
            </a:graphic>
          </wp:inline>
        </w:drawing>
      </w:r>
    </w:p>
    <w:p>
      <w:pPr>
        <w:spacing w:after="160"/>
        <w:jc w:val="center"/>
      </w:pPr>
      <w:r>
        <w:rPr>
          <w:b w:val="0"/>
          <w:i/>
          <w:color w:val="64748B"/>
          <w:sz w:val="17"/>
        </w:rPr>
        <w:t>Figure 22 — Language — English, Korean, Arabic</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globe button in the top bar (it shows EN, 한 or ع) — or the same button on the sign-in page.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English, 한국어 or العربية. The page reloads in that language.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Arabic switches the page to right-to-left. The Gantt timeline and the VPX matrix stay left-to-right, because time and process order run that way.</w:t>
            </w:r>
          </w:p>
          <w:p>
            <w:pPr>
              <w:spacing w:after="20"/>
              <w:ind w:left="198" w:hanging="198"/>
            </w:pPr>
            <w:r>
              <w:rPr>
                <w:sz w:val="19"/>
              </w:rPr>
              <w:t>•  Plan data — station, part and unit names, codes — is never translated. Exported reports (PDF, Excel, Word) stay in English.</w:t>
            </w:r>
          </w:p>
          <w:p>
            <w:pPr>
              <w:spacing w:after="20"/>
              <w:ind w:left="198" w:hanging="198"/>
            </w:pPr>
            <w:r>
              <w:rPr>
                <w:sz w:val="19"/>
              </w:rPr>
              <w:t>•  The Korean translation is a work in progress; suggestions are welcome.</w:t>
            </w:r>
          </w:p>
        </w:tc>
      </w:tr>
    </w:tbl>
    <w:p>
      <w:pPr>
        <w:spacing w:after="40"/>
      </w:pPr>
    </w:p>
    <w:p>
      <w:pPr>
        <w:spacing w:after="200"/>
      </w:pPr>
      <w:r>
        <w:rPr>
          <w:b/>
          <w:color w:val="1E3A8A"/>
          <w:sz w:val="18"/>
        </w:rPr>
        <w:t xml:space="preserve">See also: </w:t>
      </w:r>
      <w:r>
        <w:rPr>
          <w:i/>
          <w:color w:val="64748B"/>
          <w:sz w:val="18"/>
        </w:rPr>
        <w:t>The top bar · Signing in</w:t>
      </w:r>
    </w:p>
    <w:p>
      <w:pPr>
        <w:pStyle w:val="Heading2"/>
      </w:pPr>
      <w:r>
        <w:t>Notifications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bell collects new comments, new and updated issues and plan changes, including from other modules. Master Admins also see sign-ins and report exports.</w:t>
      </w:r>
    </w:p>
    <w:p>
      <w:pPr>
        <w:keepNext/>
        <w:jc w:val="center"/>
      </w:pPr>
      <w:r>
        <w:drawing>
          <wp:inline xmlns:a="http://schemas.openxmlformats.org/drawingml/2006/main" xmlns:pic="http://schemas.openxmlformats.org/drawingml/2006/picture">
            <wp:extent cx="4197927" cy="1122218"/>
            <wp:docPr id="23" name="Picture 23"/>
            <wp:cNvGraphicFramePr>
              <a:graphicFrameLocks noChangeAspect="1"/>
            </wp:cNvGraphicFramePr>
            <a:graphic>
              <a:graphicData uri="http://schemas.openxmlformats.org/drawingml/2006/picture">
                <pic:pic>
                  <pic:nvPicPr>
                    <pic:cNvPr id="0" name="notifications.jpg"/>
                    <pic:cNvPicPr/>
                  </pic:nvPicPr>
                  <pic:blipFill>
                    <a:blip r:embed="rId33"/>
                    <a:stretch>
                      <a:fillRect/>
                    </a:stretch>
                  </pic:blipFill>
                  <pic:spPr>
                    <a:xfrm>
                      <a:off x="0" y="0"/>
                      <a:ext cx="4197927" cy="1122218"/>
                    </a:xfrm>
                    <a:prstGeom prst="rect"/>
                  </pic:spPr>
                </pic:pic>
              </a:graphicData>
            </a:graphic>
          </wp:inline>
        </w:drawing>
      </w:r>
    </w:p>
    <w:p>
      <w:pPr>
        <w:spacing w:after="160"/>
        <w:jc w:val="center"/>
      </w:pPr>
      <w:r>
        <w:rPr>
          <w:b w:val="0"/>
          <w:i/>
          <w:color w:val="64748B"/>
          <w:sz w:val="17"/>
        </w:rPr>
        <w:t>Figure 23 — Notifications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bell to open the list.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a notification to jump to the task or issue; PPMS switches module if needed.</w:t>
            </w:r>
          </w:p>
        </w:tc>
      </w:tr>
    </w:tbl>
    <w:p>
      <w:pPr>
        <w:spacing w:after="40"/>
      </w:pPr>
    </w:p>
    <w:p>
      <w:pPr>
        <w:spacing w:after="200"/>
      </w:pPr>
      <w:r>
        <w:rPr>
          <w:b/>
          <w:color w:val="1E3A8A"/>
          <w:sz w:val="18"/>
        </w:rPr>
        <w:t xml:space="preserve">See also: </w:t>
      </w:r>
      <w:r>
        <w:rPr>
          <w:i/>
          <w:color w:val="64748B"/>
          <w:sz w:val="18"/>
        </w:rPr>
        <w:t>Working together on the same plan</w:t>
      </w:r>
    </w:p>
    <w:p>
      <w:pPr>
        <w:pStyle w:val="Heading2"/>
      </w:pPr>
      <w:r>
        <w:t>Changing your password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Change your own password at any time.</w:t>
      </w:r>
    </w:p>
    <w:p>
      <w:pPr>
        <w:keepNext/>
        <w:jc w:val="center"/>
      </w:pPr>
      <w:r>
        <w:drawing>
          <wp:inline xmlns:a="http://schemas.openxmlformats.org/drawingml/2006/main" xmlns:pic="http://schemas.openxmlformats.org/drawingml/2006/picture">
            <wp:extent cx="2834640" cy="2552007"/>
            <wp:docPr id="24" name="Picture 24"/>
            <wp:cNvGraphicFramePr>
              <a:graphicFrameLocks noChangeAspect="1"/>
            </wp:cNvGraphicFramePr>
            <a:graphic>
              <a:graphicData uri="http://schemas.openxmlformats.org/drawingml/2006/picture">
                <pic:pic>
                  <pic:nvPicPr>
                    <pic:cNvPr id="0" name="change-password.jpg"/>
                    <pic:cNvPicPr/>
                  </pic:nvPicPr>
                  <pic:blipFill>
                    <a:blip r:embed="rId34"/>
                    <a:stretch>
                      <a:fillRect/>
                    </a:stretch>
                  </pic:blipFill>
                  <pic:spPr>
                    <a:xfrm>
                      <a:off x="0" y="0"/>
                      <a:ext cx="2834640" cy="2552007"/>
                    </a:xfrm>
                    <a:prstGeom prst="rect"/>
                  </pic:spPr>
                </pic:pic>
              </a:graphicData>
            </a:graphic>
          </wp:inline>
        </w:drawing>
      </w:r>
    </w:p>
    <w:p>
      <w:pPr>
        <w:spacing w:after="160"/>
        <w:jc w:val="center"/>
      </w:pPr>
      <w:r>
        <w:rPr>
          <w:b w:val="0"/>
          <w:i/>
          <w:color w:val="64748B"/>
          <w:sz w:val="17"/>
        </w:rPr>
        <w:t>Figure 24 — Changing your password</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your name at the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your current password, then the new one twice, and press Update password.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at least 10 characters and don't reuse a password from another system.</w:t>
            </w:r>
          </w:p>
        </w:tc>
      </w:tr>
    </w:tbl>
    <w:p>
      <w:pPr>
        <w:spacing w:after="40"/>
      </w:pPr>
    </w:p>
    <w:p>
      <w:pPr>
        <w:pStyle w:val="Heading2"/>
      </w:pPr>
      <w:r>
        <w:t>Help &amp; User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This manual is built into PPMS. Open it any time from the menu (☰) → Help &amp; User Manual.</w:t>
      </w:r>
    </w:p>
    <w:p>
      <w:pPr>
        <w:keepNext/>
        <w:jc w:val="center"/>
      </w:pPr>
      <w:r>
        <w:drawing>
          <wp:inline xmlns:a="http://schemas.openxmlformats.org/drawingml/2006/main" xmlns:pic="http://schemas.openxmlformats.org/drawingml/2006/picture">
            <wp:extent cx="5940000" cy="4105102"/>
            <wp:docPr id="25" name="Picture 25"/>
            <wp:cNvGraphicFramePr>
              <a:graphicFrameLocks noChangeAspect="1"/>
            </wp:cNvGraphicFramePr>
            <a:graphic>
              <a:graphicData uri="http://schemas.openxmlformats.org/drawingml/2006/picture">
                <pic:pic>
                  <pic:nvPicPr>
                    <pic:cNvPr id="0" name="help-manual.jpg"/>
                    <pic:cNvPicPr/>
                  </pic:nvPicPr>
                  <pic:blipFill>
                    <a:blip r:embed="rId35"/>
                    <a:stretch>
                      <a:fillRect/>
                    </a:stretch>
                  </pic:blipFill>
                  <pic:spPr>
                    <a:xfrm>
                      <a:off x="0" y="0"/>
                      <a:ext cx="5940000" cy="4105102"/>
                    </a:xfrm>
                    <a:prstGeom prst="rect"/>
                  </pic:spPr>
                </pic:pic>
              </a:graphicData>
            </a:graphic>
          </wp:inline>
        </w:drawing>
      </w:r>
    </w:p>
    <w:p>
      <w:pPr>
        <w:spacing w:after="160"/>
        <w:jc w:val="center"/>
      </w:pPr>
      <w:r>
        <w:rPr>
          <w:b w:val="0"/>
          <w:i/>
          <w:color w:val="64748B"/>
          <w:sz w:val="17"/>
        </w:rPr>
        <w:t>Figure 25 — Help &amp; User Manual</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a chapter on the start screen or in the contents on the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in the search box to find a topic (for example "x-ray" or "export").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role in "Topics for" (All roles, Viewer, Operator, Planner or Master Admin) to see only the topics that role can use — your own role is marked "(you)". The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 topic's "Show me" button to go straight to that feature.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Word to download the manual as a Word document for printing or email. It downloads the edition for the role chosen in "Topics for" — for example "Word · Operator" for an Operator's manual.</w:t>
            </w:r>
          </w:p>
        </w:tc>
      </w:tr>
    </w:tbl>
    <w:p>
      <w:pPr>
        <w:spacing w:after="40"/>
      </w:pPr>
    </w:p>
    <w:p>
      <w:pPr>
        <w:spacing w:after="200"/>
      </w:pPr>
      <w:r>
        <w:rPr>
          <w:b/>
          <w:color w:val="1E3A8A"/>
          <w:sz w:val="18"/>
        </w:rPr>
        <w:t xml:space="preserve">See also: </w:t>
      </w:r>
      <w:r>
        <w:rPr>
          <w:i/>
          <w:color w:val="64748B"/>
          <w:sz w:val="18"/>
        </w:rPr>
        <w:t>The guided tour · The PPMS Assistant</w:t>
      </w:r>
    </w:p>
    <w:p>
      <w:pPr>
        <w:pStyle w:val="Heading2"/>
      </w:pPr>
      <w:r>
        <w:t>The PPMS Assistant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chat bubble at the bottom left answers questions about PPMS and can do things for you, such as opening a screen, applying filters or starting a report. Anything that would change data is shown to you first and only happens when you confirm.</w:t>
      </w:r>
    </w:p>
    <w:p>
      <w:pPr>
        <w:keepNext/>
        <w:jc w:val="center"/>
      </w:pPr>
      <w:r>
        <w:drawing>
          <wp:inline xmlns:a="http://schemas.openxmlformats.org/drawingml/2006/main" xmlns:pic="http://schemas.openxmlformats.org/drawingml/2006/picture">
            <wp:extent cx="3009207" cy="4871258"/>
            <wp:docPr id="26" name="Picture 26"/>
            <wp:cNvGraphicFramePr>
              <a:graphicFrameLocks noChangeAspect="1"/>
            </wp:cNvGraphicFramePr>
            <a:graphic>
              <a:graphicData uri="http://schemas.openxmlformats.org/drawingml/2006/picture">
                <pic:pic>
                  <pic:nvPicPr>
                    <pic:cNvPr id="0" name="assistant.jpg"/>
                    <pic:cNvPicPr/>
                  </pic:nvPicPr>
                  <pic:blipFill>
                    <a:blip r:embed="rId36"/>
                    <a:stretch>
                      <a:fillRect/>
                    </a:stretch>
                  </pic:blipFill>
                  <pic:spPr>
                    <a:xfrm>
                      <a:off x="0" y="0"/>
                      <a:ext cx="3009207" cy="4871258"/>
                    </a:xfrm>
                    <a:prstGeom prst="rect"/>
                  </pic:spPr>
                </pic:pic>
              </a:graphicData>
            </a:graphic>
          </wp:inline>
        </w:drawing>
      </w:r>
    </w:p>
    <w:p>
      <w:pPr>
        <w:spacing w:after="160"/>
        <w:jc w:val="center"/>
      </w:pPr>
      <w:r>
        <w:rPr>
          <w:b w:val="0"/>
          <w:i/>
          <w:color w:val="64748B"/>
          <w:sz w:val="17"/>
        </w:rPr>
        <w:t>Figure 26 — The PPMS Assistant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chat bubble at the bottom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a question ("How many tasks are overdue for BTL-01 K9?", "How do I record an X-ray result?") or a request ("open the issues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suggested buttons, or confirm a proposed change.</w:t>
            </w:r>
          </w:p>
        </w:tc>
      </w:tr>
    </w:tbl>
    <w:p>
      <w:pPr>
        <w:spacing w:after="40"/>
      </w:pPr>
    </w:p>
    <w:p>
      <w:pPr>
        <w:spacing w:after="200"/>
      </w:pPr>
      <w:r>
        <w:rPr>
          <w:b/>
          <w:color w:val="1E3A8A"/>
          <w:sz w:val="18"/>
        </w:rPr>
        <w:t xml:space="preserve">See also: </w:t>
      </w:r>
      <w:r>
        <w:rPr>
          <w:i/>
          <w:color w:val="64748B"/>
          <w:sz w:val="18"/>
        </w:rPr>
        <w:t>Help &amp; User Manual</w:t>
      </w:r>
    </w:p>
    <w:p>
      <w:r>
        <w:br w:type="page"/>
      </w:r>
    </w:p>
    <w:p>
      <w:pPr>
        <w:pStyle w:val="Heading1"/>
        <w:spacing w:after="40"/>
      </w:pPr>
      <w:r>
        <w:t>12  Troubleshooting &amp; FAQ</w:t>
      </w:r>
    </w:p>
    <w:p>
      <w:pPr>
        <w:spacing w:after="200"/>
      </w:pPr>
      <w:r>
        <w:rPr>
          <w:b w:val="0"/>
          <w:i w:val="0"/>
          <w:color w:val="64748B"/>
          <w:sz w:val="22"/>
        </w:rPr>
        <w:t>Answers to the questions users ask most, and what to do when something doesn't look right.</w:t>
      </w:r>
    </w:p>
    <w:p>
      <w:pPr>
        <w:spacing w:after="160"/>
      </w:pPr>
      <w:r>
        <w:rPr>
          <w:b w:val="0"/>
          <w:i/>
          <w:color w:val="64748B"/>
          <w:sz w:val="18"/>
        </w:rPr>
        <w:t>In this chapter: Why does the Plan Table show a bigger delay than the Delivery card? · The page doesn't show my colleague's change · I can't find a button described in this manual · PPMS feels slow or the tab stops responding</w:t>
      </w:r>
    </w:p>
    <w:p>
      <w:pPr>
        <w:pStyle w:val="Heading2"/>
      </w:pPr>
      <w:r>
        <w:t>Why does the Plan Table show a bigger delay than the Delivery card?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They measure different things. The Plan Table "Delay" is how late one block was. The Delivery card is how late the units are forecast to finish today.</w:t>
      </w:r>
    </w:p>
    <w:p>
      <w:pPr>
        <w:spacing w:after="120"/>
      </w:pPr>
      <w:r>
        <w:rPr>
          <w:b w:val="0"/>
          <w:i w:val="0"/>
        </w:rPr>
        <w:t>Example: a station planned for February finished 62 working days late in May. The Plan Table keeps showing +62 for that block. But the stations after it were planned later, so the unit caught up — it no longer delays delivery, and the Delivery card doesn't count it.</w:t>
      </w:r>
    </w:p>
    <w:p>
      <w:pPr>
        <w:spacing w:after="200"/>
      </w:pPr>
      <w:r>
        <w:rPr>
          <w:b/>
          <w:color w:val="1E3A8A"/>
          <w:sz w:val="18"/>
        </w:rPr>
        <w:t xml:space="preserve">See also: </w:t>
      </w:r>
      <w:r>
        <w:rPr>
          <w:i/>
          <w:color w:val="64748B"/>
          <w:sz w:val="18"/>
        </w:rPr>
        <w:t>How the delivery forecast and delays are calculated</w:t>
      </w:r>
    </w:p>
    <w:p>
      <w:pPr>
        <w:pStyle w:val="Heading2"/>
      </w:pPr>
      <w:r>
        <w:t>The page doesn't show my colleague's change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Live changes normally appear within a second or two.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connection dot next to the clock is green ("Connected").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you are on the same module and plan version as your colleague.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your filters — the change may be outside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version number is blinking, load the latest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Still nothing? Reload the page (F5).</w:t>
            </w:r>
          </w:p>
        </w:tc>
      </w:tr>
    </w:tbl>
    <w:p>
      <w:pPr>
        <w:spacing w:after="40"/>
      </w:pPr>
    </w:p>
    <w:p>
      <w:pPr>
        <w:spacing w:after="200"/>
      </w:pPr>
      <w:r>
        <w:rPr>
          <w:b/>
          <w:color w:val="1E3A8A"/>
          <w:sz w:val="18"/>
        </w:rPr>
        <w:t xml:space="preserve">See also: </w:t>
      </w:r>
      <w:r>
        <w:rPr>
          <w:i/>
          <w:color w:val="64748B"/>
          <w:sz w:val="18"/>
        </w:rPr>
        <w:t>Working together on the same plan · Keeping PPMS up to date</w:t>
      </w:r>
    </w:p>
    <w:p>
      <w:pPr>
        <w:pStyle w:val="Heading2"/>
      </w:pPr>
      <w:r>
        <w:t>I can't find a button described in this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Buttons you are not allowed to use are hidden, and some features exist only in one module.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role label on the topic ("Planner and Master Admin", etc.) against your role under your name.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module label (for example "F200-KD2") against the module switch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Edit-mode controls on Gantt blocks appear only when you hover the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Ask your administrator if you need more access.</w:t>
            </w:r>
          </w:p>
        </w:tc>
      </w:tr>
    </w:tbl>
    <w:p>
      <w:pPr>
        <w:spacing w:after="40"/>
      </w:pPr>
    </w:p>
    <w:p>
      <w:pPr>
        <w:spacing w:after="200"/>
      </w:pPr>
      <w:r>
        <w:rPr>
          <w:b/>
          <w:color w:val="1E3A8A"/>
          <w:sz w:val="18"/>
        </w:rPr>
        <w:t xml:space="preserve">See also: </w:t>
      </w:r>
      <w:r>
        <w:rPr>
          <w:i/>
          <w:color w:val="64748B"/>
          <w:sz w:val="18"/>
        </w:rPr>
        <w:t>User roles and what they can do · Modules: KD1, F200-KD2 and F100-KD2</w:t>
      </w:r>
    </w:p>
    <w:p>
      <w:pPr>
        <w:pStyle w:val="Heading2"/>
      </w:pPr>
      <w:r>
        <w:t>PPMS feels slow or the tab stops responding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is built to stay light, but a very busy browser can still struggle.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Make sure you are on the latest version (the version number isn't blinking).</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Close other heavy tabs and applications.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Narrow the filters to what you need — fewer rows means faster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browser shows "This page is having a problem", press Reload; nothing you had saved is lost.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Chrome or Edge on a PC with at least 8 GB of memory for planning work.</w:t>
            </w:r>
          </w:p>
        </w:tc>
      </w:tr>
    </w:tbl>
    <w:p>
      <w:pPr>
        <w:spacing w:after="40"/>
      </w:pPr>
    </w:p>
    <w:p>
      <w:pPr>
        <w:spacing w:after="200"/>
      </w:pPr>
      <w:r>
        <w:rPr>
          <w:b/>
          <w:color w:val="1E3A8A"/>
          <w:sz w:val="18"/>
        </w:rPr>
        <w:t xml:space="preserve">See also: </w:t>
      </w:r>
      <w:r>
        <w:rPr>
          <w:i/>
          <w:color w:val="64748B"/>
          <w:sz w:val="18"/>
        </w:rPr>
        <w:t>Filtering the page · Keeping PPMS up to date</w:t>
      </w:r>
    </w:p>
    <w:p>
      <w:r>
        <w:br w:type="page"/>
      </w:r>
    </w:p>
    <w:p>
      <w:pPr>
        <w:pStyle w:val="Heading1"/>
      </w:pPr>
      <w:r>
        <w:t>Glossary</w:t>
      </w:r>
    </w:p>
    <w:p>
      <w:pPr>
        <w:spacing w:after="160"/>
      </w:pPr>
      <w:r>
        <w:rPr>
          <w:b w:val="0"/>
          <w:i w:val="0"/>
          <w:color w:val="64748B"/>
        </w:rPr>
        <w:t>The terms used in PPMS and in this manual.</w:t>
      </w:r>
    </w:p>
    <w:tbl>
      <w:tblPr>
        <w:tblStyle w:val="TableGrid"/>
        <w:tblW w:type="auto" w:w="0"/>
        <w:tblLayout w:type="fixed"/>
        <w:tblLook w:firstColumn="1" w:firstRow="1" w:lastColumn="0" w:lastRow="0" w:noHBand="0" w:noVBand="1" w:val="04A0"/>
      </w:tblPr>
      <w:tblGrid>
        <w:gridCol w:w="4819"/>
        <w:gridCol w:w="4819"/>
      </w:tblGrid>
      <w:tr>
        <w:tc>
          <w:tcPr>
            <w:tcW w:type="dxa" w:w="2608"/>
            <w:shd w:val="clear" w:color="auto" w:fill="1E3A8A"/>
            <w:tcMar>
              <w:top w:w="70" w:type="dxa"/>
              <w:bottom w:w="70" w:type="dxa"/>
              <w:start w:w="110" w:type="dxa"/>
              <w:end w:w="110" w:type="dxa"/>
            </w:tcMar>
          </w:tcPr>
          <w:p>
            <w:pPr>
              <w:spacing w:after="0"/>
            </w:pPr>
            <w:r>
              <w:rPr>
                <w:b/>
                <w:color w:val="FFFFFF"/>
                <w:sz w:val="18"/>
              </w:rPr>
              <w:t>Term</w:t>
            </w:r>
          </w:p>
        </w:tc>
        <w:tc>
          <w:tcPr>
            <w:tcW w:type="dxa" w:w="6917"/>
            <w:shd w:val="clear" w:color="auto" w:fill="1E3A8A"/>
            <w:tcMar>
              <w:top w:w="70" w:type="dxa"/>
              <w:bottom w:w="70" w:type="dxa"/>
              <w:start w:w="110" w:type="dxa"/>
              <w:end w:w="110" w:type="dxa"/>
            </w:tcMar>
          </w:tcPr>
          <w:p>
            <w:pPr>
              <w:spacing w:after="0"/>
            </w:pPr>
            <w:r>
              <w:rPr>
                <w:b/>
                <w:color w:val="FFFFFF"/>
                <w:sz w:val="18"/>
              </w:rPr>
              <w:t>Meaning</w:t>
            </w:r>
          </w:p>
        </w:tc>
      </w:tr>
      <w:tr>
        <w:tc>
          <w:tcPr>
            <w:tcW w:type="dxa" w:w="2608"/>
            <w:tcMar>
              <w:top w:w="60" w:type="dxa"/>
              <w:bottom w:w="60" w:type="dxa"/>
              <w:start w:w="110" w:type="dxa"/>
              <w:end w:w="110" w:type="dxa"/>
            </w:tcMar>
          </w:tcPr>
          <w:p>
            <w:pPr>
              <w:spacing w:after="0"/>
            </w:pPr>
            <w:r>
              <w:rPr>
                <w:sz w:val="18"/>
              </w:rPr>
              <w:t>Actual start / Completion date</w:t>
            </w:r>
          </w:p>
        </w:tc>
        <w:tc>
          <w:tcPr>
            <w:tcW w:type="dxa" w:w="6917"/>
            <w:tcMar>
              <w:top w:w="60" w:type="dxa"/>
              <w:bottom w:w="60" w:type="dxa"/>
              <w:start w:w="110" w:type="dxa"/>
              <w:end w:w="110" w:type="dxa"/>
            </w:tcMar>
          </w:tcPr>
          <w:p>
            <w:pPr>
              <w:spacing w:after="0"/>
            </w:pPr>
            <w:r>
              <w:rPr>
                <w:sz w:val="18"/>
              </w:rPr>
              <w:t>The dates work really started and finished at a station, recorded in the Plan Table.</w:t>
            </w:r>
          </w:p>
        </w:tc>
      </w:tr>
      <w:tr>
        <w:tc>
          <w:tcPr>
            <w:tcW w:type="dxa" w:w="2608"/>
            <w:tcMar>
              <w:top w:w="60" w:type="dxa"/>
              <w:bottom w:w="60" w:type="dxa"/>
              <w:start w:w="110" w:type="dxa"/>
              <w:end w:w="110" w:type="dxa"/>
            </w:tcMar>
            <w:shd w:val="clear" w:color="auto" w:fill="F8FAFC"/>
          </w:tcPr>
          <w:p>
            <w:pPr>
              <w:spacing w:after="0"/>
            </w:pPr>
            <w:r>
              <w:rPr>
                <w:sz w:val="18"/>
              </w:rPr>
              <w:t>Battalion (BTL-01 …)</w:t>
            </w:r>
          </w:p>
        </w:tc>
        <w:tc>
          <w:tcPr>
            <w:tcW w:type="dxa" w:w="6917"/>
            <w:tcMar>
              <w:top w:w="60" w:type="dxa"/>
              <w:bottom w:w="60" w:type="dxa"/>
              <w:start w:w="110" w:type="dxa"/>
              <w:end w:w="110" w:type="dxa"/>
            </w:tcMar>
            <w:shd w:val="clear" w:color="auto" w:fill="F8FAFC"/>
          </w:tcPr>
          <w:p>
            <w:pPr>
              <w:spacing w:after="0"/>
            </w:pPr>
            <w:r>
              <w:rPr>
                <w:sz w:val="18"/>
              </w:rPr>
              <w:t>A delivery batch of vehicles. Unit labels (M1, M2 …) repeat in every battalion.</w:t>
            </w:r>
          </w:p>
        </w:tc>
      </w:tr>
      <w:tr>
        <w:tc>
          <w:tcPr>
            <w:tcW w:type="dxa" w:w="2608"/>
            <w:tcMar>
              <w:top w:w="60" w:type="dxa"/>
              <w:bottom w:w="60" w:type="dxa"/>
              <w:start w:w="110" w:type="dxa"/>
              <w:end w:w="110" w:type="dxa"/>
            </w:tcMar>
          </w:tcPr>
          <w:p>
            <w:pPr>
              <w:spacing w:after="0"/>
            </w:pPr>
            <w:r>
              <w:rPr>
                <w:sz w:val="18"/>
              </w:rPr>
              <w:t>Block</w:t>
            </w:r>
          </w:p>
        </w:tc>
        <w:tc>
          <w:tcPr>
            <w:tcW w:type="dxa" w:w="6917"/>
            <w:tcMar>
              <w:top w:w="60" w:type="dxa"/>
              <w:bottom w:w="60" w:type="dxa"/>
              <w:start w:w="110" w:type="dxa"/>
              <w:end w:w="110" w:type="dxa"/>
            </w:tcMar>
          </w:tcPr>
          <w:p>
            <w:pPr>
              <w:spacing w:after="0"/>
            </w:pPr>
            <w:r>
              <w:rPr>
                <w:sz w:val="18"/>
              </w:rPr>
              <w:t>One unit at one station on the Gantt — a planned start and end date.</w:t>
            </w:r>
          </w:p>
        </w:tc>
      </w:tr>
      <w:tr>
        <w:tc>
          <w:tcPr>
            <w:tcW w:type="dxa" w:w="2608"/>
            <w:tcMar>
              <w:top w:w="60" w:type="dxa"/>
              <w:bottom w:w="60" w:type="dxa"/>
              <w:start w:w="110" w:type="dxa"/>
              <w:end w:w="110" w:type="dxa"/>
            </w:tcMar>
            <w:shd w:val="clear" w:color="auto" w:fill="F8FAFC"/>
          </w:tcPr>
          <w:p>
            <w:pPr>
              <w:spacing w:after="0"/>
            </w:pPr>
            <w:r>
              <w:rPr>
                <w:sz w:val="18"/>
              </w:rPr>
              <w:t>Category</w:t>
            </w:r>
          </w:p>
        </w:tc>
        <w:tc>
          <w:tcPr>
            <w:tcW w:type="dxa" w:w="6917"/>
            <w:tcMar>
              <w:top w:w="60" w:type="dxa"/>
              <w:bottom w:w="60" w:type="dxa"/>
              <w:start w:w="110" w:type="dxa"/>
              <w:end w:w="110" w:type="dxa"/>
            </w:tcMar>
            <w:shd w:val="clear" w:color="auto" w:fill="F8FAFC"/>
          </w:tcPr>
          <w:p>
            <w:pPr>
              <w:spacing w:after="0"/>
            </w:pPr>
            <w:r>
              <w:rPr>
                <w:sz w:val="18"/>
              </w:rPr>
              <w:t>A group of stations, e.g. Welding, Machining, Assembly.</w:t>
            </w:r>
          </w:p>
        </w:tc>
      </w:tr>
      <w:tr>
        <w:tc>
          <w:tcPr>
            <w:tcW w:type="dxa" w:w="2608"/>
            <w:tcMar>
              <w:top w:w="60" w:type="dxa"/>
              <w:bottom w:w="60" w:type="dxa"/>
              <w:start w:w="110" w:type="dxa"/>
              <w:end w:w="110" w:type="dxa"/>
            </w:tcMar>
          </w:tcPr>
          <w:p>
            <w:pPr>
              <w:spacing w:after="0"/>
            </w:pPr>
            <w:r>
              <w:rPr>
                <w:sz w:val="18"/>
              </w:rPr>
              <w:t>Delay (Plan Table)</w:t>
            </w:r>
          </w:p>
        </w:tc>
        <w:tc>
          <w:tcPr>
            <w:tcW w:type="dxa" w:w="6917"/>
            <w:tcMar>
              <w:top w:w="60" w:type="dxa"/>
              <w:bottom w:w="60" w:type="dxa"/>
              <w:start w:w="110" w:type="dxa"/>
              <w:end w:w="110" w:type="dxa"/>
            </w:tcMar>
          </w:tcPr>
          <w:p>
            <w:pPr>
              <w:spacing w:after="0"/>
            </w:pPr>
            <w:r>
              <w:rPr>
                <w:sz w:val="18"/>
              </w:rPr>
              <w:t>How late that one block is or was: completion after the planned end, or still unfinished past it. A historical fact about the block.</w:t>
            </w:r>
          </w:p>
        </w:tc>
      </w:tr>
      <w:tr>
        <w:tc>
          <w:tcPr>
            <w:tcW w:type="dxa" w:w="2608"/>
            <w:tcMar>
              <w:top w:w="60" w:type="dxa"/>
              <w:bottom w:w="60" w:type="dxa"/>
              <w:start w:w="110" w:type="dxa"/>
              <w:end w:w="110" w:type="dxa"/>
            </w:tcMar>
            <w:shd w:val="clear" w:color="auto" w:fill="F8FAFC"/>
          </w:tcPr>
          <w:p>
            <w:pPr>
              <w:spacing w:after="0"/>
            </w:pPr>
            <w:r>
              <w:rPr>
                <w:sz w:val="18"/>
              </w:rPr>
              <w:t>Delivery forecast</w:t>
            </w:r>
          </w:p>
        </w:tc>
        <w:tc>
          <w:tcPr>
            <w:tcW w:type="dxa" w:w="6917"/>
            <w:tcMar>
              <w:top w:w="60" w:type="dxa"/>
              <w:bottom w:w="60" w:type="dxa"/>
              <w:start w:w="110" w:type="dxa"/>
              <w:end w:w="110" w:type="dxa"/>
            </w:tcMar>
            <w:shd w:val="clear" w:color="auto" w:fill="F8FAFC"/>
          </w:tcPr>
          <w:p>
            <w:pPr>
              <w:spacing w:after="0"/>
            </w:pPr>
            <w:r>
              <w:rPr>
                <w:sz w:val="18"/>
              </w:rPr>
              <w:t>The expected delivery date worked out by following each unit's process order from where it stands today (see "How the delivery forecast works").</w:t>
            </w:r>
          </w:p>
        </w:tc>
      </w:tr>
      <w:tr>
        <w:tc>
          <w:tcPr>
            <w:tcW w:type="dxa" w:w="2608"/>
            <w:tcMar>
              <w:top w:w="60" w:type="dxa"/>
              <w:bottom w:w="60" w:type="dxa"/>
              <w:start w:w="110" w:type="dxa"/>
              <w:end w:w="110" w:type="dxa"/>
            </w:tcMar>
          </w:tcPr>
          <w:p>
            <w:pPr>
              <w:spacing w:after="0"/>
            </w:pPr>
            <w:r>
              <w:rPr>
                <w:sz w:val="18"/>
              </w:rPr>
              <w:t>Feeder lines</w:t>
            </w:r>
          </w:p>
        </w:tc>
        <w:tc>
          <w:tcPr>
            <w:tcW w:type="dxa" w:w="6917"/>
            <w:tcMar>
              <w:top w:w="60" w:type="dxa"/>
              <w:bottom w:w="60" w:type="dxa"/>
              <w:start w:w="110" w:type="dxa"/>
              <w:end w:w="110" w:type="dxa"/>
            </w:tcMar>
          </w:tcPr>
          <w:p>
            <w:pPr>
              <w:spacing w:after="0"/>
            </w:pPr>
            <w:r>
              <w:rPr>
                <w:sz w:val="18"/>
              </w:rPr>
              <w:t>Hull and Turret (K9) or Structure (K10/K11) — built in parallel before the downstream Assembly &amp; Processing &amp; Testing line.</w:t>
            </w:r>
          </w:p>
        </w:tc>
      </w:tr>
      <w:tr>
        <w:tc>
          <w:tcPr>
            <w:tcW w:type="dxa" w:w="2608"/>
            <w:tcMar>
              <w:top w:w="60" w:type="dxa"/>
              <w:bottom w:w="60" w:type="dxa"/>
              <w:start w:w="110" w:type="dxa"/>
              <w:end w:w="110" w:type="dxa"/>
            </w:tcMar>
            <w:shd w:val="clear" w:color="auto" w:fill="F8FAFC"/>
          </w:tcPr>
          <w:p>
            <w:pPr>
              <w:spacing w:after="0"/>
            </w:pPr>
            <w:r>
              <w:rPr>
                <w:sz w:val="18"/>
              </w:rPr>
              <w:t>FW</w:t>
            </w:r>
          </w:p>
        </w:tc>
        <w:tc>
          <w:tcPr>
            <w:tcW w:type="dxa" w:w="6917"/>
            <w:tcMar>
              <w:top w:w="60" w:type="dxa"/>
              <w:bottom w:w="60" w:type="dxa"/>
              <w:start w:w="110" w:type="dxa"/>
              <w:end w:w="110" w:type="dxa"/>
            </w:tcMar>
            <w:shd w:val="clear" w:color="auto" w:fill="F8FAFC"/>
          </w:tcPr>
          <w:p>
            <w:pPr>
              <w:spacing w:after="0"/>
            </w:pPr>
            <w:r>
              <w:rPr>
                <w:sz w:val="18"/>
              </w:rPr>
              <w:t>Factory week number, shown in the Gantt header and the Week column.</w:t>
            </w:r>
          </w:p>
        </w:tc>
      </w:tr>
      <w:tr>
        <w:tc>
          <w:tcPr>
            <w:tcW w:type="dxa" w:w="2608"/>
            <w:tcMar>
              <w:top w:w="60" w:type="dxa"/>
              <w:bottom w:w="60" w:type="dxa"/>
              <w:start w:w="110" w:type="dxa"/>
              <w:end w:w="110" w:type="dxa"/>
            </w:tcMar>
          </w:tcPr>
          <w:p>
            <w:pPr>
              <w:spacing w:after="0"/>
            </w:pPr>
            <w:r>
              <w:rPr>
                <w:sz w:val="18"/>
              </w:rPr>
              <w:t>Late Completion</w:t>
            </w:r>
          </w:p>
        </w:tc>
        <w:tc>
          <w:tcPr>
            <w:tcW w:type="dxa" w:w="6917"/>
            <w:tcMar>
              <w:top w:w="60" w:type="dxa"/>
              <w:bottom w:w="60" w:type="dxa"/>
              <w:start w:w="110" w:type="dxa"/>
              <w:end w:w="110" w:type="dxa"/>
            </w:tcMar>
          </w:tcPr>
          <w:p>
            <w:pPr>
              <w:spacing w:after="0"/>
            </w:pPr>
            <w:r>
              <w:rPr>
                <w:sz w:val="18"/>
              </w:rPr>
              <w:t>Finished, but after the planned end date.</w:t>
            </w:r>
          </w:p>
        </w:tc>
      </w:tr>
      <w:tr>
        <w:tc>
          <w:tcPr>
            <w:tcW w:type="dxa" w:w="2608"/>
            <w:tcMar>
              <w:top w:w="60" w:type="dxa"/>
              <w:bottom w:w="60" w:type="dxa"/>
              <w:start w:w="110" w:type="dxa"/>
              <w:end w:w="110" w:type="dxa"/>
            </w:tcMar>
            <w:shd w:val="clear" w:color="auto" w:fill="F8FAFC"/>
          </w:tcPr>
          <w:p>
            <w:pPr>
              <w:spacing w:after="0"/>
            </w:pPr>
            <w:r>
              <w:rPr>
                <w:sz w:val="18"/>
              </w:rPr>
              <w:t>Lead time</w:t>
            </w:r>
          </w:p>
        </w:tc>
        <w:tc>
          <w:tcPr>
            <w:tcW w:type="dxa" w:w="6917"/>
            <w:tcMar>
              <w:top w:w="60" w:type="dxa"/>
              <w:bottom w:w="60" w:type="dxa"/>
              <w:start w:w="110" w:type="dxa"/>
              <w:end w:w="110" w:type="dxa"/>
            </w:tcMar>
            <w:shd w:val="clear" w:color="auto" w:fill="F8FAFC"/>
          </w:tcPr>
          <w:p>
            <w:pPr>
              <w:spacing w:after="0"/>
            </w:pPr>
            <w:r>
              <w:rPr>
                <w:sz w:val="18"/>
              </w:rPr>
              <w:t>A station's default duration in working days, used when blocks are placed or a plan is generated.</w:t>
            </w:r>
          </w:p>
        </w:tc>
      </w:tr>
      <w:tr>
        <w:tc>
          <w:tcPr>
            <w:tcW w:type="dxa" w:w="2608"/>
            <w:tcMar>
              <w:top w:w="60" w:type="dxa"/>
              <w:bottom w:w="60" w:type="dxa"/>
              <w:start w:w="110" w:type="dxa"/>
              <w:end w:w="110" w:type="dxa"/>
            </w:tcMar>
          </w:tcPr>
          <w:p>
            <w:pPr>
              <w:spacing w:after="0"/>
            </w:pPr>
            <w:r>
              <w:rPr>
                <w:sz w:val="18"/>
              </w:rPr>
              <w:t>No-work day</w:t>
            </w:r>
          </w:p>
        </w:tc>
        <w:tc>
          <w:tcPr>
            <w:tcW w:type="dxa" w:w="6917"/>
            <w:tcMar>
              <w:top w:w="60" w:type="dxa"/>
              <w:bottom w:w="60" w:type="dxa"/>
              <w:start w:w="110" w:type="dxa"/>
              <w:end w:w="110" w:type="dxa"/>
            </w:tcMar>
          </w:tcPr>
          <w:p>
            <w:pPr>
              <w:spacing w:after="0"/>
            </w:pPr>
            <w:r>
              <w:rPr>
                <w:sz w:val="18"/>
              </w:rPr>
              <w:t>A holiday or shutdown day; scheduling and moves skip it. Fridays are never working days.</w:t>
            </w:r>
          </w:p>
        </w:tc>
      </w:tr>
      <w:tr>
        <w:tc>
          <w:tcPr>
            <w:tcW w:type="dxa" w:w="2608"/>
            <w:tcMar>
              <w:top w:w="60" w:type="dxa"/>
              <w:bottom w:w="60" w:type="dxa"/>
              <w:start w:w="110" w:type="dxa"/>
              <w:end w:w="110" w:type="dxa"/>
            </w:tcMar>
            <w:shd w:val="clear" w:color="auto" w:fill="F8FAFC"/>
          </w:tcPr>
          <w:p>
            <w:pPr>
              <w:spacing w:after="0"/>
            </w:pPr>
            <w:r>
              <w:rPr>
                <w:sz w:val="18"/>
              </w:rPr>
              <w:t>Overdue</w:t>
            </w:r>
          </w:p>
        </w:tc>
        <w:tc>
          <w:tcPr>
            <w:tcW w:type="dxa" w:w="6917"/>
            <w:tcMar>
              <w:top w:w="60" w:type="dxa"/>
              <w:bottom w:w="60" w:type="dxa"/>
              <w:start w:w="110" w:type="dxa"/>
              <w:end w:w="110" w:type="dxa"/>
            </w:tcMar>
            <w:shd w:val="clear" w:color="auto" w:fill="F8FAFC"/>
          </w:tcPr>
          <w:p>
            <w:pPr>
              <w:spacing w:after="0"/>
            </w:pPr>
            <w:r>
              <w:rPr>
                <w:sz w:val="18"/>
              </w:rPr>
              <w:t>Not finished (and not started) and already past the planned end date.</w:t>
            </w:r>
          </w:p>
        </w:tc>
      </w:tr>
      <w:tr>
        <w:tc>
          <w:tcPr>
            <w:tcW w:type="dxa" w:w="2608"/>
            <w:tcMar>
              <w:top w:w="60" w:type="dxa"/>
              <w:bottom w:w="60" w:type="dxa"/>
              <w:start w:w="110" w:type="dxa"/>
              <w:end w:w="110" w:type="dxa"/>
            </w:tcMar>
          </w:tcPr>
          <w:p>
            <w:pPr>
              <w:spacing w:after="0"/>
            </w:pPr>
            <w:r>
              <w:rPr>
                <w:sz w:val="18"/>
              </w:rPr>
              <w:t>Plan version</w:t>
            </w:r>
          </w:p>
        </w:tc>
        <w:tc>
          <w:tcPr>
            <w:tcW w:type="dxa" w:w="6917"/>
            <w:tcMar>
              <w:top w:w="60" w:type="dxa"/>
              <w:bottom w:w="60" w:type="dxa"/>
              <w:start w:w="110" w:type="dxa"/>
              <w:end w:w="110" w:type="dxa"/>
            </w:tcMar>
          </w:tcPr>
          <w:p>
            <w:pPr>
              <w:spacing w:after="0"/>
            </w:pPr>
            <w:r>
              <w:rPr>
                <w:sz w:val="18"/>
              </w:rPr>
              <w:t>A copy of the plan, e.g. a baseline and later revisions. Only active versions can be opened.</w:t>
            </w:r>
          </w:p>
        </w:tc>
      </w:tr>
      <w:tr>
        <w:tc>
          <w:tcPr>
            <w:tcW w:type="dxa" w:w="2608"/>
            <w:tcMar>
              <w:top w:w="60" w:type="dxa"/>
              <w:bottom w:w="60" w:type="dxa"/>
              <w:start w:w="110" w:type="dxa"/>
              <w:end w:w="110" w:type="dxa"/>
            </w:tcMar>
            <w:shd w:val="clear" w:color="auto" w:fill="F8FAFC"/>
          </w:tcPr>
          <w:p>
            <w:pPr>
              <w:spacing w:after="0"/>
            </w:pPr>
            <w:r>
              <w:rPr>
                <w:sz w:val="18"/>
              </w:rPr>
              <w:t>Process view / Unit view</w:t>
            </w:r>
          </w:p>
        </w:tc>
        <w:tc>
          <w:tcPr>
            <w:tcW w:type="dxa" w:w="6917"/>
            <w:tcMar>
              <w:top w:w="60" w:type="dxa"/>
              <w:bottom w:w="60" w:type="dxa"/>
              <w:start w:w="110" w:type="dxa"/>
              <w:end w:w="110" w:type="dxa"/>
            </w:tcMar>
            <w:shd w:val="clear" w:color="auto" w:fill="F8FAFC"/>
          </w:tcPr>
          <w:p>
            <w:pPr>
              <w:spacing w:after="0"/>
            </w:pPr>
            <w:r>
              <w:rPr>
                <w:sz w:val="18"/>
              </w:rPr>
              <w:t>Gantt layouts: one lane per station, or one lane per unit.</w:t>
            </w:r>
          </w:p>
        </w:tc>
      </w:tr>
      <w:tr>
        <w:tc>
          <w:tcPr>
            <w:tcW w:type="dxa" w:w="2608"/>
            <w:tcMar>
              <w:top w:w="60" w:type="dxa"/>
              <w:bottom w:w="60" w:type="dxa"/>
              <w:start w:w="110" w:type="dxa"/>
              <w:end w:w="110" w:type="dxa"/>
            </w:tcMar>
          </w:tcPr>
          <w:p>
            <w:pPr>
              <w:spacing w:after="0"/>
            </w:pPr>
            <w:r>
              <w:rPr>
                <w:sz w:val="18"/>
              </w:rPr>
              <w:t>Station / Process</w:t>
            </w:r>
          </w:p>
        </w:tc>
        <w:tc>
          <w:tcPr>
            <w:tcW w:type="dxa" w:w="6917"/>
            <w:tcMar>
              <w:top w:w="60" w:type="dxa"/>
              <w:bottom w:w="60" w:type="dxa"/>
              <w:start w:w="110" w:type="dxa"/>
              <w:end w:w="110" w:type="dxa"/>
            </w:tcMar>
          </w:tcPr>
          <w:p>
            <w:pPr>
              <w:spacing w:after="0"/>
            </w:pPr>
            <w:r>
              <w:rPr>
                <w:sz w:val="18"/>
              </w:rPr>
              <w:t>One manufacturing step, e.g. LOWER HULL or QUALIFYING (Turret).</w:t>
            </w:r>
          </w:p>
        </w:tc>
      </w:tr>
      <w:tr>
        <w:tc>
          <w:tcPr>
            <w:tcW w:type="dxa" w:w="2608"/>
            <w:tcMar>
              <w:top w:w="60" w:type="dxa"/>
              <w:bottom w:w="60" w:type="dxa"/>
              <w:start w:w="110" w:type="dxa"/>
              <w:end w:w="110" w:type="dxa"/>
            </w:tcMar>
            <w:shd w:val="clear" w:color="auto" w:fill="F8FAFC"/>
          </w:tcPr>
          <w:p>
            <w:pPr>
              <w:spacing w:after="0"/>
            </w:pPr>
            <w:r>
              <w:rPr>
                <w:sz w:val="18"/>
              </w:rPr>
              <w:t>Unit code / Serial</w:t>
            </w:r>
          </w:p>
        </w:tc>
        <w:tc>
          <w:tcPr>
            <w:tcW w:type="dxa" w:w="6917"/>
            <w:tcMar>
              <w:top w:w="60" w:type="dxa"/>
              <w:bottom w:w="60" w:type="dxa"/>
              <w:start w:w="110" w:type="dxa"/>
              <w:end w:w="110" w:type="dxa"/>
            </w:tcMar>
            <w:shd w:val="clear" w:color="auto" w:fill="F8FAFC"/>
          </w:tcPr>
          <w:p>
            <w:pPr>
              <w:spacing w:after="0"/>
            </w:pPr>
            <w:r>
              <w:rPr>
                <w:sz w:val="18"/>
              </w:rPr>
              <w:t>The vehicle's registered identity, e.g. BTL-01 K9 M2 = EGY N26029.</w:t>
            </w:r>
          </w:p>
        </w:tc>
      </w:tr>
      <w:tr>
        <w:tc>
          <w:tcPr>
            <w:tcW w:type="dxa" w:w="2608"/>
            <w:tcMar>
              <w:top w:w="60" w:type="dxa"/>
              <w:bottom w:w="60" w:type="dxa"/>
              <w:start w:w="110" w:type="dxa"/>
              <w:end w:w="110" w:type="dxa"/>
            </w:tcMar>
          </w:tcPr>
          <w:p>
            <w:pPr>
              <w:spacing w:after="0"/>
            </w:pPr>
            <w:r>
              <w:rPr>
                <w:sz w:val="18"/>
              </w:rPr>
              <w:t>VPX</w:t>
            </w:r>
          </w:p>
        </w:tc>
        <w:tc>
          <w:tcPr>
            <w:tcW w:type="dxa" w:w="6917"/>
            <w:tcMar>
              <w:top w:w="60" w:type="dxa"/>
              <w:bottom w:w="60" w:type="dxa"/>
              <w:start w:w="110" w:type="dxa"/>
              <w:end w:w="110" w:type="dxa"/>
            </w:tcMar>
          </w:tcPr>
          <w:p>
            <w:pPr>
              <w:spacing w:after="0"/>
            </w:pPr>
            <w:r>
              <w:rPr>
                <w:sz w:val="18"/>
              </w:rPr>
              <w:t>Vehicle Production Progress — the station-by-station matrix of every unit.</w:t>
            </w:r>
          </w:p>
        </w:tc>
      </w:tr>
      <w:tr>
        <w:tc>
          <w:tcPr>
            <w:tcW w:type="dxa" w:w="2608"/>
            <w:tcMar>
              <w:top w:w="60" w:type="dxa"/>
              <w:bottom w:w="60" w:type="dxa"/>
              <w:start w:w="110" w:type="dxa"/>
              <w:end w:w="110" w:type="dxa"/>
            </w:tcMar>
            <w:shd w:val="clear" w:color="auto" w:fill="F8FAFC"/>
          </w:tcPr>
          <w:p>
            <w:pPr>
              <w:spacing w:after="0"/>
            </w:pPr>
            <w:r>
              <w:rPr>
                <w:sz w:val="18"/>
              </w:rPr>
              <w:t>wd</w:t>
            </w:r>
          </w:p>
        </w:tc>
        <w:tc>
          <w:tcPr>
            <w:tcW w:type="dxa" w:w="6917"/>
            <w:tcMar>
              <w:top w:w="60" w:type="dxa"/>
              <w:bottom w:w="60" w:type="dxa"/>
              <w:start w:w="110" w:type="dxa"/>
              <w:end w:w="110" w:type="dxa"/>
            </w:tcMar>
            <w:shd w:val="clear" w:color="auto" w:fill="F8FAFC"/>
          </w:tcPr>
          <w:p>
            <w:pPr>
              <w:spacing w:after="0"/>
            </w:pPr>
            <w:r>
              <w:rPr>
                <w:sz w:val="18"/>
              </w:rPr>
              <w:t>Working days — calendar days excluding Fridays (and no-work days where they apply).</w:t>
            </w:r>
          </w:p>
        </w:tc>
      </w:tr>
    </w:tbl>
    <w:sectPr w:rsidR="00FC693F" w:rsidRPr="0006063C" w:rsidSect="00034616">
      <w:headerReference w:type="default" r:id="rId9"/>
      <w:footerReference w:type="default" r:id="rId10"/>
      <w:pgSz w:w="11906" w:h="16838"/>
      <w:pgMar w:top="1020"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Production Planning &amp; Monitoring System  ·  07 October 2026  ·  Page </w:t>
    </w:r>
    <w:r>
      <w:rPr>
        <w:color w:val="64748B"/>
        <w:sz w:val="16"/>
      </w:rPr>
      <w:fldChar w:fldCharType="begin"/>
      <w:instrText xml:space="preserve"> PAGE </w:instrText>
      <w:fldChar w:fldCharType="separate"/>
      <w:t>1</w:t>
      <w:fldChar w:fldCharType="end"/>
    </w:r>
    <w:r>
      <w:rPr>
        <w:color w:val="64748B"/>
        <w:sz w:val="16"/>
      </w:rPr>
      <w:t xml:space="preserve"> of </w:t>
    </w:r>
    <w:r>
      <w:rPr>
        <w:color w:val="64748B"/>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PPMS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E3A8A"/>
      <w:sz w:val="4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2563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