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Operator — topics an Operator can use</w:t>
            </w:r>
          </w:p>
        </w:tc>
      </w:tr>
      <w:tr>
        <w:tc>
          <w:tcPr>
            <w:tcW w:type="dxa" w:w="1814"/>
          </w:tcPr>
          <w:p>
            <w:r>
              <w:rPr>
                <w:b/>
                <w:color w:val="64748B"/>
                <w:sz w:val="17"/>
              </w:rPr>
              <w:t>EDITION</w:t>
            </w:r>
          </w:p>
        </w:tc>
        <w:tc>
          <w:tcPr>
            <w:tcW w:type="dxa" w:w="7370"/>
          </w:tcPr>
          <w:p>
            <w:r>
              <w:rPr>
                <w:sz w:val="21"/>
              </w:rPr>
              <w:t>09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Outlook (management view)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Outlook (management view)</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Click the Delivery card to open the Delivery Outlook: one full-screen page that tells management whether delivery is on time, whether it is getting better or worse, what is setting the date and where to act. It always uses all plan data, whatever filters are set on the page.</w:t>
      </w:r>
    </w:p>
    <w:p>
      <w:pPr>
        <w:keepNext/>
        <w:jc w:val="center"/>
      </w:pPr>
      <w:r>
        <w:drawing>
          <wp:inline xmlns:a="http://schemas.openxmlformats.org/drawingml/2006/main" xmlns:pic="http://schemas.openxmlformats.org/drawingml/2006/picture">
            <wp:extent cx="5940000" cy="2954286"/>
            <wp:docPr id="8" name="Picture 8"/>
            <wp:cNvGraphicFramePr>
              <a:graphicFrameLocks noChangeAspect="1"/>
            </wp:cNvGraphicFramePr>
            <a:graphic>
              <a:graphicData uri="http://schemas.openxmlformats.org/drawingml/2006/picture">
                <pic:pic>
                  <pic:nvPicPr>
                    <pic:cNvPr id="0" name="delivery-outlook.jpg"/>
                    <pic:cNvPicPr/>
                  </pic:nvPicPr>
                  <pic:blipFill>
                    <a:blip r:embed="rId18"/>
                    <a:stretch>
                      <a:fillRect/>
                    </a:stretch>
                  </pic:blipFill>
                  <pic:spPr>
                    <a:xfrm>
                      <a:off x="0" y="0"/>
                      <a:ext cx="5940000" cy="2954286"/>
                    </a:xfrm>
                    <a:prstGeom prst="rect"/>
                  </pic:spPr>
                </pic:pic>
              </a:graphicData>
            </a:graphic>
          </wp:inline>
        </w:drawing>
      </w:r>
    </w:p>
    <w:p>
      <w:pPr>
        <w:spacing w:after="160"/>
        <w:jc w:val="center"/>
      </w:pPr>
      <w:r>
        <w:rPr>
          <w:b w:val="0"/>
          <w:i/>
          <w:color w:val="64748B"/>
          <w:sz w:val="17"/>
        </w:rPr>
        <w:t>Figure 8 — Delivery Outlook (management view)</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Delivery card in the Executive Summary. Use the battalion switch at the top (All battalions, BTL-01 …) to change the scope.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top row answers "are we on time?": the delay in working days, planned against forecast delivery, which vehicle sets the date, and the delay trend over the last 8 weeks.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Red or amber notices appear only when something needs attention — for example a delay that grows every day because a station has not started, or a battalion with no progress recorded.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key figures show plan adherence (tasks due by today that are done), tasks late to start, vehicles forecast late, the worst vehicle and the work done.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"Vehicle output by month" compares how many vehicles the plan and the forecast finish each month. "Build time per vehicle" compares the planned build time with the actual time (finished vehicles) or the forecast time (vehicles still in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"Act now" lists unfinished stations that are pushing vehicles back — press Show in Plan Table to work on one. "Time already lost" lists finished stations whose lateness is still carried forward.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At the bottom, the battalion cards and the "Every unit" table give the detail for each vehicle. Sort the table by Worst first or Plan order.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Use Delay breakdown for the Delivery Delay Analysis, the full-screen button to fill the screen, and Print to save the page as a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Every figure comes from the same forecast as the Delivery card and the reports, so they always agree.</w:t>
            </w:r>
          </w:p>
          <w:p>
            <w:pPr>
              <w:spacing w:after="20"/>
              <w:ind w:left="198" w:hanging="198"/>
            </w:pPr>
            <w:r>
              <w:rPr>
                <w:sz w:val="19"/>
              </w:rPr>
              <w:t>•  The delay trend is rebuilt from the dates recorded in PPMS. Dates entered late make past days look better than they really were.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Open the Outlook at the start of the weekly management review and work through "Act now" from the top.</w:t>
            </w:r>
          </w:p>
        </w:tc>
      </w:tr>
    </w:tbl>
    <w:p>
      <w:pPr>
        <w:spacing w:after="40"/>
      </w:pPr>
    </w:p>
    <w:p>
      <w:pPr>
        <w:spacing w:after="200"/>
      </w:pPr>
      <w:r>
        <w:rPr>
          <w:b/>
          <w:color w:val="1E3A8A"/>
          <w:sz w:val="18"/>
        </w:rPr>
        <w:t xml:space="preserve">See also: </w:t>
      </w:r>
      <w:r>
        <w:rPr>
          <w:i/>
          <w:color w:val="64748B"/>
          <w:sz w:val="18"/>
        </w:rPr>
        <w:t>How the delivery forecast and delays are calculated · Delivery Delay Analysis · Executive Summary</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with Delay breakdown in the Delivery Outlook (on KD1 and F100, straight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120639" cy="5951912"/>
            <wp:docPr id="9" name="Picture 9"/>
            <wp:cNvGraphicFramePr>
              <a:graphicFrameLocks noChangeAspect="1"/>
            </wp:cNvGraphicFramePr>
            <a:graphic>
              <a:graphicData uri="http://schemas.openxmlformats.org/drawingml/2006/picture">
                <pic:pic>
                  <pic:nvPicPr>
                    <pic:cNvPr id="0" name="delivery-analysis.jpg"/>
                    <pic:cNvPicPr/>
                  </pic:nvPicPr>
                  <pic:blipFill>
                    <a:blip r:embed="rId19"/>
                    <a:stretch>
                      <a:fillRect/>
                    </a:stretch>
                  </pic:blipFill>
                  <pic:spPr>
                    <a:xfrm>
                      <a:off x="0" y="0"/>
                      <a:ext cx="5120639" cy="5951912"/>
                    </a:xfrm>
                    <a:prstGeom prst="rect"/>
                  </pic:spPr>
                </pic:pic>
              </a:graphicData>
            </a:graphic>
          </wp:inline>
        </w:drawing>
      </w:r>
    </w:p>
    <w:p>
      <w:pPr>
        <w:spacing w:after="160"/>
        <w:jc w:val="center"/>
      </w:pPr>
      <w:r>
        <w:rPr>
          <w:b w:val="0"/>
          <w:i/>
          <w:color w:val="64748B"/>
          <w:sz w:val="17"/>
        </w:rPr>
        <w:t>Figure 9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For every vehicle PPMS asks one question: "if work carries on from where it is today, when will this vehicle be finished?" The answer is its forecast finish. The Delivery card, the Delivery Delay Analysis, the VPX Station Report, the Executive Report and the Analytics finish chart all use this same forecast, so they always agree.</w:t>
      </w:r>
    </w:p>
    <w:p>
      <w:pPr>
        <w:spacing w:after="120"/>
      </w:pPr>
      <w:r>
        <w:rPr>
          <w:b w:val="0"/>
          <w:i w:val="0"/>
        </w:rPr>
        <w:t>There are two kinds of delay. A station delay (the Plan Table "Delay" column) says how late one station was or is. A vehicle delay (the Delivery card and the reports) says how late the whole vehicle will finish compared with its plan. They answer different questions, so they are often different numbers.</w:t>
      </w:r>
    </w:p>
    <w:p>
      <w:pPr>
        <w:spacing w:after="120"/>
      </w:pPr>
      <w:r>
        <w:rPr>
          <w:b w:val="0"/>
          <w:i w:val="0"/>
        </w:rPr>
        <w:t>To forecast a vehicle, PPMS walks through its stations in the order of the plan. A station that is finished counts with the day it really finished. A station that has started counts from the day it really started. A station that has not started cannot start before its planned start, before today, or before the stations it waits for are finished.</w:t>
      </w:r>
    </w:p>
    <w:p>
      <w:pPr>
        <w:spacing w:after="120"/>
      </w:pPr>
      <w:r>
        <w:rPr>
          <w:b w:val="0"/>
          <w:i w:val="0"/>
        </w:rPr>
        <w:t>A station only waits for the stations the plan finishes before it starts. Work the plan runs at the same time does not wait: Hull and Turret on K9 are built side by side, and so are the turret and gun-barrel sub-assemblies next to the hull-side Assembly work. Assembly &amp; Processing &amp; Testing waits until the Hull and Turret (or the Structure on K10 / K11) are finished.</w:t>
      </w:r>
    </w:p>
    <w:p>
      <w:pPr>
        <w:spacing w:after="120"/>
      </w:pPr>
      <w:r>
        <w:rPr>
          <w:b w:val="0"/>
          <w:i w:val="0"/>
        </w:rPr>
        <w:t>Every station that is not finished yet is given the same number of working days the plan gives it, so the forecast never assumes the shop floor will work faster than planned.</w:t>
      </w:r>
    </w:p>
    <w:p>
      <w:pPr>
        <w:spacing w:after="120"/>
      </w:pPr>
      <w:r>
        <w:rPr>
          <w:b w:val="0"/>
          <w:i w:val="0"/>
        </w:rPr>
        <w:t>A late station only delays the vehicle if the lateness is still there at the end. If the plan has spare time after that station, the vehicle can catch up and the delay disappears from the forecast. Example: Marriage 2nd finished 8 days late. If the next station was planned to start right after it, the vehicle moves 8 days too. If the plan left 3 spare days before the next station, the vehicle finishes 5 days late.</w:t>
      </w:r>
    </w:p>
    <w:p>
      <w:pPr>
        <w:spacing w:after="120"/>
      </w:pPr>
      <w:r>
        <w:rPr>
          <w:b w:val="0"/>
          <w:i w:val="0"/>
        </w:rPr>
        <w:t>The vehicle delay is the number of working days between its planned finish and its forecast finish. The forecast delivery date is the day the last vehicle is forecast to finish.</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vehicles and which stations are causing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single station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do not count Fridays.</w:t>
            </w:r>
          </w:p>
          <w:p>
            <w:pPr>
              <w:spacing w:after="20"/>
              <w:ind w:left="198" w:hanging="198"/>
            </w:pPr>
            <w:r>
              <w:rPr>
                <w:sz w:val="19"/>
              </w:rPr>
              <w:t>•  The forecast follows the filters. With "All time" and no category filter it sees each vehicle's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actual start and completion dates on the same day. The forecast can only be as good as the dates entered.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 station that should already have started but has no actual start date is forecast to start today with its full planned duration. If work has in fact started, record the actual start date, or the forecast will look later than reality.</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 · Why does the Plan Table show a bigger delay than the Delivery card?</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10" name="Picture 10"/>
            <wp:cNvGraphicFramePr>
              <a:graphicFrameLocks noChangeAspect="1"/>
            </wp:cNvGraphicFramePr>
            <a:graphic>
              <a:graphicData uri="http://schemas.openxmlformats.org/drawingml/2006/picture">
                <pic:pic>
                  <pic:nvPicPr>
                    <pic:cNvPr id="0" name="progress-matrix.jpg"/>
                    <pic:cNvPicPr/>
                  </pic:nvPicPr>
                  <pic:blipFill>
                    <a:blip r:embed="rId20"/>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10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1" name="Picture 11"/>
            <wp:cNvGraphicFramePr>
              <a:graphicFrameLocks noChangeAspect="1"/>
            </wp:cNvGraphicFramePr>
            <a:graphic>
              <a:graphicData uri="http://schemas.openxmlformats.org/drawingml/2006/picture">
                <pic:pic>
                  <pic:nvPicPr>
                    <pic:cNvPr id="0" name="analytics.jpg"/>
                    <pic:cNvPicPr/>
                  </pic:nvPicPr>
                  <pic:blipFill>
                    <a:blip r:embed="rId21"/>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11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2" name="Picture 12"/>
            <wp:cNvGraphicFramePr>
              <a:graphicFrameLocks noChangeAspect="1"/>
            </wp:cNvGraphicFramePr>
            <a:graphic>
              <a:graphicData uri="http://schemas.openxmlformats.org/drawingml/2006/picture">
                <pic:pic>
                  <pic:nvPicPr>
                    <pic:cNvPr id="0" name="gantt.jpg"/>
                    <pic:cNvPicPr/>
                  </pic:nvPicPr>
                  <pic:blipFill>
                    <a:blip r:embed="rId22"/>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12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Filtering the page · How the delivery forecast and delays are calculated</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3" name="Picture 13"/>
            <wp:cNvGraphicFramePr>
              <a:graphicFrameLocks noChangeAspect="1"/>
            </wp:cNvGraphicFramePr>
            <a:graphic>
              <a:graphicData uri="http://schemas.openxmlformats.org/drawingml/2006/picture">
                <pic:pic>
                  <pic:nvPicPr>
                    <pic:cNvPr id="0" name="plan-table.jpg"/>
                    <pic:cNvPicPr/>
                  </pic:nvPicPr>
                  <pic:blipFill>
                    <a:blip r:embed="rId23"/>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13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4" name="Picture 14"/>
            <wp:cNvGraphicFramePr>
              <a:graphicFrameLocks noChangeAspect="1"/>
            </wp:cNvGraphicFramePr>
            <a:graphic>
              <a:graphicData uri="http://schemas.openxmlformats.org/drawingml/2006/picture">
                <pic:pic>
                  <pic:nvPicPr>
                    <pic:cNvPr id="0" name="actual-dates.jpg"/>
                    <pic:cNvPicPr/>
                  </pic:nvPicPr>
                  <pic:blipFill>
                    <a:blip r:embed="rId24"/>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14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5" name="Picture 15"/>
            <wp:cNvGraphicFramePr>
              <a:graphicFrameLocks noChangeAspect="1"/>
            </wp:cNvGraphicFramePr>
            <a:graphic>
              <a:graphicData uri="http://schemas.openxmlformats.org/drawingml/2006/picture">
                <pic:pic>
                  <pic:nvPicPr>
                    <pic:cNvPr id="0" name="comments.jpg"/>
                    <pic:cNvPicPr/>
                  </pic:nvPicPr>
                  <pic:blipFill>
                    <a:blip r:embed="rId25"/>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15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6" name="Picture 16"/>
            <wp:cNvGraphicFramePr>
              <a:graphicFrameLocks noChangeAspect="1"/>
            </wp:cNvGraphicFramePr>
            <a:graphic>
              <a:graphicData uri="http://schemas.openxmlformats.org/drawingml/2006/picture">
                <pic:pic>
                  <pic:nvPicPr>
                    <pic:cNvPr id="0" name="delay-reason.jpg"/>
                    <pic:cNvPicPr/>
                  </pic:nvPicPr>
                  <pic:blipFill>
                    <a:blip r:embed="rId26"/>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16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7" name="Picture 17"/>
            <wp:cNvGraphicFramePr>
              <a:graphicFrameLocks noChangeAspect="1"/>
            </wp:cNvGraphicFramePr>
            <a:graphic>
              <a:graphicData uri="http://schemas.openxmlformats.org/drawingml/2006/picture">
                <pic:pic>
                  <pic:nvPicPr>
                    <pic:cNvPr id="0" name="xray.jpg"/>
                    <pic:cNvPicPr/>
                  </pic:nvPicPr>
                  <pic:blipFill>
                    <a:blip r:embed="rId27"/>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17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18" name="Picture 18"/>
            <wp:cNvGraphicFramePr>
              <a:graphicFrameLocks noChangeAspect="1"/>
            </wp:cNvGraphicFramePr>
            <a:graphic>
              <a:graphicData uri="http://schemas.openxmlformats.org/drawingml/2006/picture">
                <pic:pic>
                  <pic:nvPicPr>
                    <pic:cNvPr id="0" name="issues-table.jpg"/>
                    <pic:cNvPicPr/>
                  </pic:nvPicPr>
                  <pic:blipFill>
                    <a:blip r:embed="rId28"/>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18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19" name="Picture 19"/>
            <wp:cNvGraphicFramePr>
              <a:graphicFrameLocks noChangeAspect="1"/>
            </wp:cNvGraphicFramePr>
            <a:graphic>
              <a:graphicData uri="http://schemas.openxmlformats.org/drawingml/2006/picture">
                <pic:pic>
                  <pic:nvPicPr>
                    <pic:cNvPr id="0" name="report-issue.jpg"/>
                    <pic:cNvPicPr/>
                  </pic:nvPicPr>
                  <pic:blipFill>
                    <a:blip r:embed="rId29"/>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19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20" name="Picture 20"/>
            <wp:cNvGraphicFramePr>
              <a:graphicFrameLocks noChangeAspect="1"/>
            </wp:cNvGraphicFramePr>
            <a:graphic>
              <a:graphicData uri="http://schemas.openxmlformats.org/drawingml/2006/picture">
                <pic:pic>
                  <pic:nvPicPr>
                    <pic:cNvPr id="0" name="issue-details.jpg"/>
                    <pic:cNvPicPr/>
                  </pic:nvPicPr>
                  <pic:blipFill>
                    <a:blip r:embed="rId30"/>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20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1" name="Picture 21"/>
            <wp:cNvGraphicFramePr>
              <a:graphicFrameLocks noChangeAspect="1"/>
            </wp:cNvGraphicFramePr>
            <a:graphic>
              <a:graphicData uri="http://schemas.openxmlformats.org/drawingml/2006/picture">
                <pic:pic>
                  <pic:nvPicPr>
                    <pic:cNvPr id="0" name="issue-drafts.jpg"/>
                    <pic:cNvPicPr/>
                  </pic:nvPicPr>
                  <pic:blipFill>
                    <a:blip r:embed="rId31"/>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21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2" name="Picture 22"/>
            <wp:cNvGraphicFramePr>
              <a:graphicFrameLocks noChangeAspect="1"/>
            </wp:cNvGraphicFramePr>
            <a:graphic>
              <a:graphicData uri="http://schemas.openxmlformats.org/drawingml/2006/picture">
                <pic:pic>
                  <pic:nvPicPr>
                    <pic:cNvPr id="0" name="issue-report.jpg"/>
                    <pic:cNvPicPr/>
                  </pic:nvPicPr>
                  <pic:blipFill>
                    <a:blip r:embed="rId32"/>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22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3" name="Picture 23"/>
            <wp:cNvGraphicFramePr>
              <a:graphicFrameLocks noChangeAspect="1"/>
            </wp:cNvGraphicFramePr>
            <a:graphic>
              <a:graphicData uri="http://schemas.openxmlformats.org/drawingml/2006/picture">
                <pic:pic>
                  <pic:nvPicPr>
                    <pic:cNvPr id="0" name="export-report.jpg"/>
                    <pic:cNvPicPr/>
                  </pic:nvPicPr>
                  <pic:blipFill>
                    <a:blip r:embed="rId33"/>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23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4" name="Picture 24"/>
            <wp:cNvGraphicFramePr>
              <a:graphicFrameLocks noChangeAspect="1"/>
            </wp:cNvGraphicFramePr>
            <a:graphic>
              <a:graphicData uri="http://schemas.openxmlformats.org/drawingml/2006/picture">
                <pic:pic>
                  <pic:nvPicPr>
                    <pic:cNvPr id="0" name="vpx-report.jpg"/>
                    <pic:cNvPicPr/>
                  </pic:nvPicPr>
                  <pic:blipFill>
                    <a:blip r:embed="rId34"/>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24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5" name="Picture 25"/>
            <wp:cNvGraphicFramePr>
              <a:graphicFrameLocks noChangeAspect="1"/>
            </wp:cNvGraphicFramePr>
            <a:graphic>
              <a:graphicData uri="http://schemas.openxmlformats.org/drawingml/2006/picture">
                <pic:pic>
                  <pic:nvPicPr>
                    <pic:cNvPr id="0" name="executive-report.jpg"/>
                    <pic:cNvPicPr/>
                  </pic:nvPicPr>
                  <pic:blipFill>
                    <a:blip r:embed="rId35"/>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25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Plan versions · Unit Codes</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26" name="Picture 26"/>
            <wp:cNvGraphicFramePr>
              <a:graphicFrameLocks noChangeAspect="1"/>
            </wp:cNvGraphicFramePr>
            <a:graphic>
              <a:graphicData uri="http://schemas.openxmlformats.org/drawingml/2006/picture">
                <pic:pic>
                  <pic:nvPicPr>
                    <pic:cNvPr id="0" name="plan-versions.jpg"/>
                    <pic:cNvPicPr/>
                  </pic:nvPicPr>
                  <pic:blipFill>
                    <a:blip r:embed="rId36"/>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26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27" name="Picture 27"/>
            <wp:cNvGraphicFramePr>
              <a:graphicFrameLocks noChangeAspect="1"/>
            </wp:cNvGraphicFramePr>
            <a:graphic>
              <a:graphicData uri="http://schemas.openxmlformats.org/drawingml/2006/picture">
                <pic:pic>
                  <pic:nvPicPr>
                    <pic:cNvPr id="0" name="unit-codes.jpg"/>
                    <pic:cNvPicPr/>
                  </pic:nvPicPr>
                  <pic:blipFill>
                    <a:blip r:embed="rId37"/>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27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28" name="Picture 28"/>
            <wp:cNvGraphicFramePr>
              <a:graphicFrameLocks noChangeAspect="1"/>
            </wp:cNvGraphicFramePr>
            <a:graphic>
              <a:graphicData uri="http://schemas.openxmlformats.org/drawingml/2006/picture">
                <pic:pic>
                  <pic:nvPicPr>
                    <pic:cNvPr id="0" name="f100.jpg"/>
                    <pic:cNvPicPr/>
                  </pic:nvPicPr>
                  <pic:blipFill>
                    <a:blip r:embed="rId38"/>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28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29" name="Picture 29"/>
            <wp:cNvGraphicFramePr>
              <a:graphicFrameLocks noChangeAspect="1"/>
            </wp:cNvGraphicFramePr>
            <a:graphic>
              <a:graphicData uri="http://schemas.openxmlformats.org/drawingml/2006/picture">
                <pic:pic>
                  <pic:nvPicPr>
                    <pic:cNvPr id="0" name="version-updates.jpg"/>
                    <pic:cNvPicPr/>
                  </pic:nvPicPr>
                  <pic:blipFill>
                    <a:blip r:embed="rId39"/>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29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30" name="Picture 30"/>
            <wp:cNvGraphicFramePr>
              <a:graphicFrameLocks noChangeAspect="1"/>
            </wp:cNvGraphicFramePr>
            <a:graphic>
              <a:graphicData uri="http://schemas.openxmlformats.org/drawingml/2006/picture">
                <pic:pic>
                  <pic:nvPicPr>
                    <pic:cNvPr id="0" name="themes.jpg"/>
                    <pic:cNvPicPr/>
                  </pic:nvPicPr>
                  <pic:blipFill>
                    <a:blip r:embed="rId40"/>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30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31" name="Picture 31"/>
            <wp:cNvGraphicFramePr>
              <a:graphicFrameLocks noChangeAspect="1"/>
            </wp:cNvGraphicFramePr>
            <a:graphic>
              <a:graphicData uri="http://schemas.openxmlformats.org/drawingml/2006/picture">
                <pic:pic>
                  <pic:nvPicPr>
                    <pic:cNvPr id="0" name="language.jpg"/>
                    <pic:cNvPicPr/>
                  </pic:nvPicPr>
                  <pic:blipFill>
                    <a:blip r:embed="rId41"/>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31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32" name="Picture 32"/>
            <wp:cNvGraphicFramePr>
              <a:graphicFrameLocks noChangeAspect="1"/>
            </wp:cNvGraphicFramePr>
            <a:graphic>
              <a:graphicData uri="http://schemas.openxmlformats.org/drawingml/2006/picture">
                <pic:pic>
                  <pic:nvPicPr>
                    <pic:cNvPr id="0" name="notifications.jpg"/>
                    <pic:cNvPicPr/>
                  </pic:nvPicPr>
                  <pic:blipFill>
                    <a:blip r:embed="rId42"/>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32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33" name="Picture 33"/>
            <wp:cNvGraphicFramePr>
              <a:graphicFrameLocks noChangeAspect="1"/>
            </wp:cNvGraphicFramePr>
            <a:graphic>
              <a:graphicData uri="http://schemas.openxmlformats.org/drawingml/2006/picture">
                <pic:pic>
                  <pic:nvPicPr>
                    <pic:cNvPr id="0" name="change-password.jpg"/>
                    <pic:cNvPicPr/>
                  </pic:nvPicPr>
                  <pic:blipFill>
                    <a:blip r:embed="rId43"/>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33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34" name="Picture 34"/>
            <wp:cNvGraphicFramePr>
              <a:graphicFrameLocks noChangeAspect="1"/>
            </wp:cNvGraphicFramePr>
            <a:graphic>
              <a:graphicData uri="http://schemas.openxmlformats.org/drawingml/2006/picture">
                <pic:pic>
                  <pic:nvPicPr>
                    <pic:cNvPr id="0" name="help-manual.jpg"/>
                    <pic:cNvPicPr/>
                  </pic:nvPicPr>
                  <pic:blipFill>
                    <a:blip r:embed="rId44"/>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34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35" name="Picture 35"/>
            <wp:cNvGraphicFramePr>
              <a:graphicFrameLocks noChangeAspect="1"/>
            </wp:cNvGraphicFramePr>
            <a:graphic>
              <a:graphicData uri="http://schemas.openxmlformats.org/drawingml/2006/picture">
                <pic:pic>
                  <pic:nvPicPr>
                    <pic:cNvPr id="0" name="assistant.jpg"/>
                    <pic:cNvPicPr/>
                  </pic:nvPicPr>
                  <pic:blipFill>
                    <a:blip r:embed="rId45"/>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35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Adham Morsy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