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67EE8923" w14:textId="1DC4181B" w:rsidR="000A4180"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613CFF">
          <w:pPr>
            <w:pStyle w:val="TOC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613CFF">
          <w:pPr>
            <w:pStyle w:val="TOC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613CFF">
          <w:pPr>
            <w:pStyle w:val="TOC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613CFF">
          <w:pPr>
            <w:pStyle w:val="TOC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613CFF">
          <w:pPr>
            <w:pStyle w:val="TOC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613CFF">
          <w:pPr>
            <w:pStyle w:val="TOC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613CFF">
          <w:pPr>
            <w:pStyle w:val="TOC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r w:rsidR="00235652">
        <w:fldChar w:fldCharType="begin"/>
      </w:r>
      <w:r w:rsidR="00235652">
        <w:instrText xml:space="preserve"> HYPERLINK "https://electronjs.org/" </w:instrText>
      </w:r>
      <w:r w:rsidR="00235652">
        <w:fldChar w:fldCharType="separate"/>
      </w:r>
      <w:r w:rsidR="00B61E5A" w:rsidRPr="00A27A92">
        <w:rPr>
          <w:rStyle w:val="Hyperlink"/>
        </w:rPr>
        <w:t>https://electronjs.org/</w:t>
      </w:r>
      <w:r w:rsidR="00235652">
        <w:rPr>
          <w:rStyle w:val="Hyperlink"/>
        </w:rPr>
        <w:fldChar w:fldCharType="end"/>
      </w:r>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4" w:name="_Toc16790190"/>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235652">
        <w:fldChar w:fldCharType="begin"/>
      </w:r>
      <w:r w:rsidR="00235652">
        <w:instrText xml:space="preserve"> HYPERLINK "https://github.com/the-danish-national-archives/ASTA" </w:instrText>
      </w:r>
      <w:r w:rsidR="00235652">
        <w:fldChar w:fldCharType="separate"/>
      </w:r>
      <w:r w:rsidR="001452F2" w:rsidRPr="00152BA2">
        <w:rPr>
          <w:rStyle w:val="Hyperlink"/>
        </w:rPr>
        <w:t>https://github.com/the-danish-national-archives/ASTA</w:t>
      </w:r>
      <w:r w:rsidR="00235652">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5" w:name="_Driftssetup"/>
      <w:bookmarkStart w:id="6" w:name="_Toc16790191"/>
      <w:bookmarkEnd w:id="5"/>
      <w:r>
        <w:t>Driftssetup</w:t>
      </w:r>
      <w:bookmarkEnd w:id="6"/>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235652">
        <w:fldChar w:fldCharType="begin"/>
      </w:r>
      <w:r w:rsidR="00235652">
        <w:instrText xml:space="preserve"> HYPERLINK "https://www.npmjs.com/package/electron-packager" </w:instrText>
      </w:r>
      <w:r w:rsidR="00235652">
        <w:fldChar w:fldCharType="separate"/>
      </w:r>
      <w:r w:rsidRPr="002B427B">
        <w:rPr>
          <w:rStyle w:val="Hyperlink"/>
        </w:rPr>
        <w:t>https://www.npmjs.com/package/electron-packager</w:t>
      </w:r>
      <w:r w:rsidR="00235652">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42F5BF3B"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68B62368" w14:textId="689CE282" w:rsidR="00E54FAD" w:rsidRPr="00E54FAD" w:rsidRDefault="00613CFF" w:rsidP="00490CAE">
      <w:pPr>
        <w:rPr>
          <w:color w:val="4BACC6" w:themeColor="accent5"/>
          <w:lang w:val="en-US"/>
        </w:rPr>
      </w:pPr>
      <w:hyperlink r:id="rId10"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634A8A6A" w:rsidR="007F4882" w:rsidRDefault="007F4882" w:rsidP="007F4882">
      <w:pPr>
        <w:rPr>
          <w:color w:val="4BACC6" w:themeColor="accent5"/>
          <w:lang w:val="en-US"/>
        </w:rPr>
      </w:pPr>
      <w:r w:rsidRPr="007F4882">
        <w:rPr>
          <w:color w:val="4BACC6" w:themeColor="accent5"/>
          <w:lang w:val="en-US"/>
        </w:rPr>
        <w:t xml:space="preserve">By </w:t>
      </w:r>
      <w:proofErr w:type="gramStart"/>
      <w:r w:rsidRPr="007F4882">
        <w:rPr>
          <w:color w:val="4BACC6" w:themeColor="accent5"/>
          <w:lang w:val="en-US"/>
        </w:rPr>
        <w:t>default</w:t>
      </w:r>
      <w:proofErr w:type="gramEnd"/>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68DBC732"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w:t>
      </w:r>
      <w:r w:rsidR="00B73529" w:rsidRPr="00B73529">
        <w:rPr>
          <w:color w:val="4BACC6" w:themeColor="accent5"/>
          <w:lang w:val="en-US"/>
        </w:rPr>
        <w:t>ASTA_systemlog</w:t>
      </w:r>
      <w:r w:rsidRPr="007F4882">
        <w:rPr>
          <w:color w:val="4BACC6" w:themeColor="accent5"/>
          <w:lang w:val="en-US"/>
        </w:rPr>
        <w:t>.log</w:t>
      </w:r>
    </w:p>
    <w:p w14:paraId="66C687FF" w14:textId="7F7F58D4"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73529" w:rsidRPr="00B73529">
        <w:rPr>
          <w:color w:val="4BACC6" w:themeColor="accent5"/>
          <w:lang w:val="en-US"/>
        </w:rPr>
        <w:t xml:space="preserve"> </w:t>
      </w:r>
      <w:r w:rsidR="00B73529" w:rsidRPr="00B73529">
        <w:rPr>
          <w:color w:val="4BACC6" w:themeColor="accent5"/>
          <w:lang w:val="en-US"/>
        </w:rPr>
        <w:t>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06807718"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220008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${USERPROFILE}\AppData\Roaming\file-converter\</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Paragraph"/>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xml:space="preserve">: Invoked from electron as child process.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5D9F5F0A"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2A775469"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\Roaming\file-converter\</w:t>
      </w:r>
      <w:r w:rsidR="00B73529" w:rsidRPr="00B73529">
        <w:rPr>
          <w:color w:val="4BACC6" w:themeColor="accent5"/>
          <w:lang w:val="en-US"/>
        </w:rPr>
        <w:t>styx_systemlog</w:t>
      </w:r>
      <w:r w:rsidRPr="001313BE">
        <w:rPr>
          <w:color w:val="4BACC6" w:themeColor="accent5"/>
          <w:lang w:val="en-US"/>
        </w:rPr>
        <w:t>.log</w:t>
      </w:r>
    </w:p>
    <w:p w14:paraId="4DAB4C22" w14:textId="53F75976" w:rsidR="0088405C" w:rsidRDefault="0088405C" w:rsidP="00490CAE">
      <w:pPr>
        <w:pStyle w:val="Heading2"/>
        <w:numPr>
          <w:ilvl w:val="0"/>
          <w:numId w:val="1"/>
        </w:numPr>
      </w:pPr>
      <w:bookmarkStart w:id="7" w:name="_Toc16790192"/>
      <w:r>
        <w:t>Udviklingssetup</w:t>
      </w:r>
      <w:bookmarkStart w:id="8" w:name="_GoBack"/>
      <w:bookmarkEnd w:id="7"/>
      <w:bookmarkEnd w:id="8"/>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lastRenderedPageBreak/>
        <w:t>Electron-packager (</w:t>
      </w:r>
      <w:hyperlink r:id="rId12"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4"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235652">
        <w:fldChar w:fldCharType="begin"/>
      </w:r>
      <w:r w:rsidR="00235652">
        <w:instrText xml:space="preserve"> HYPERLINK "https://www.npmjs.com/package/chardet" </w:instrText>
      </w:r>
      <w:r w:rsidR="00235652">
        <w:fldChar w:fldCharType="separate"/>
      </w:r>
      <w:r w:rsidRPr="002B427B">
        <w:rPr>
          <w:rStyle w:val="Hyperlink"/>
        </w:rPr>
        <w:t>https://www.npmjs.com/package/chardet</w:t>
      </w:r>
      <w:r w:rsidR="00235652">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235652">
        <w:fldChar w:fldCharType="begin"/>
      </w:r>
      <w:r w:rsidR="00235652">
        <w:instrText xml:space="preserve"> HYPERLINK "https://www.npmjs.com/package/junk" </w:instrText>
      </w:r>
      <w:r w:rsidR="00235652">
        <w:fldChar w:fldCharType="separate"/>
      </w:r>
      <w:r w:rsidRPr="002B427B">
        <w:rPr>
          <w:rStyle w:val="Hyperlink"/>
        </w:rPr>
        <w:t>https://www.npmjs.com/package/junk</w:t>
      </w:r>
      <w:r w:rsidR="00235652">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5"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235652">
        <w:fldChar w:fldCharType="begin"/>
      </w:r>
      <w:r w:rsidR="00235652">
        <w:instrText xml:space="preserve"> HYPERLINK "https://www.npmjs.com/package/xmldom" </w:instrText>
      </w:r>
      <w:r w:rsidR="00235652">
        <w:fldChar w:fldCharType="separate"/>
      </w:r>
      <w:r w:rsidR="00054E59" w:rsidRPr="00DC0689">
        <w:rPr>
          <w:rStyle w:val="Hyperlink"/>
        </w:rPr>
        <w:t>https://www.npmjs.com/package/xmldom</w:t>
      </w:r>
      <w:r w:rsidR="00235652">
        <w:rPr>
          <w:rStyle w:val="Hyperlink"/>
        </w:rPr>
        <w:fldChar w:fldCharType="end"/>
      </w:r>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16"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235652">
        <w:fldChar w:fldCharType="begin"/>
      </w:r>
      <w:r w:rsidR="00235652">
        <w:instrText xml:space="preserve"> HYPERLINK "https://www.npmjs.com/package/fast-csv" </w:instrText>
      </w:r>
      <w:r w:rsidR="00235652">
        <w:fldChar w:fldCharType="separate"/>
      </w:r>
      <w:r w:rsidRPr="00521BA1">
        <w:rPr>
          <w:rStyle w:val="Hyperlink"/>
        </w:rPr>
        <w:t>https://www.npmjs.com/package/fast-csv</w:t>
      </w:r>
      <w:r w:rsidR="00235652">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17" w:history="1">
        <w:r w:rsidR="00B61E5A" w:rsidRPr="00B61E5A">
          <w:rPr>
            <w:rStyle w:val="Hyperlink"/>
          </w:rPr>
          <w:t>https://github.com/the-danish-national-archives/ASTA</w:t>
        </w:r>
        <w:r w:rsidRPr="00DC0689">
          <w:rPr>
            <w:rStyle w:val="Hyperlink"/>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1C97934D" w:rsidR="00670C7C" w:rsidRPr="00670C7C" w:rsidRDefault="00670C7C" w:rsidP="00B24DDA">
      <w:pPr>
        <w:rPr>
          <w:color w:val="4BACC6" w:themeColor="accent5"/>
        </w:rPr>
      </w:pPr>
      <w:r w:rsidRPr="00670C7C">
        <w:rPr>
          <w:color w:val="4BACC6" w:themeColor="accent5"/>
        </w:rPr>
        <w:t>log4net (</w:t>
      </w:r>
      <w:r w:rsidR="00235652">
        <w:fldChar w:fldCharType="begin"/>
      </w:r>
      <w:r w:rsidR="00235652">
        <w:instrText xml:space="preserve"> HYPERLINK "http://logging.apache.org/log4net/" </w:instrText>
      </w:r>
      <w:r w:rsidR="00235652">
        <w:fldChar w:fldCharType="separate"/>
      </w:r>
      <w:r w:rsidRPr="00672A18">
        <w:rPr>
          <w:rStyle w:val="Hyperlink"/>
        </w:rPr>
        <w:t>http://logging.apache.org/log4net/</w:t>
      </w:r>
      <w:r w:rsidR="00235652">
        <w:rPr>
          <w:rStyle w:val="Hyperlink"/>
        </w:rPr>
        <w:fldChar w:fldCharType="end"/>
      </w:r>
      <w:r>
        <w:rPr>
          <w:color w:val="4BACC6" w:themeColor="accent5"/>
        </w:rPr>
        <w:t xml:space="preserve"> )</w:t>
      </w:r>
    </w:p>
    <w:p w14:paraId="564FF7EA" w14:textId="77777777" w:rsidR="00490CAE" w:rsidRDefault="00490CAE" w:rsidP="00490CAE">
      <w:pPr>
        <w:pStyle w:val="Heading2"/>
        <w:numPr>
          <w:ilvl w:val="0"/>
          <w:numId w:val="1"/>
        </w:numPr>
      </w:pPr>
      <w:bookmarkStart w:id="9" w:name="_Klassediagram"/>
      <w:bookmarkStart w:id="10" w:name="_Toc16790193"/>
      <w:bookmarkEnd w:id="9"/>
      <w:r>
        <w:t>Klassediagr</w:t>
      </w:r>
      <w:r w:rsidR="00975945">
        <w:t>a</w:t>
      </w:r>
      <w:r>
        <w:t>m</w:t>
      </w:r>
      <w:bookmarkEnd w:id="10"/>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5CBFF378" w:rsidR="002D5ABA" w:rsidRDefault="002D5ABA" w:rsidP="00490CAE">
      <w:pPr>
        <w:rPr>
          <w:color w:val="4BACC6" w:themeColor="accent5"/>
          <w:lang w:val="en-US"/>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sidRPr="00B84550">
        <w:rPr>
          <w:color w:val="4BACC6" w:themeColor="accent5"/>
          <w:lang w:val="en-US"/>
        </w:rPr>
        <w:t xml:space="preserve">Men </w:t>
      </w:r>
      <w:proofErr w:type="spellStart"/>
      <w:r w:rsidR="00B56983" w:rsidRPr="00B84550">
        <w:rPr>
          <w:color w:val="4BACC6" w:themeColor="accent5"/>
          <w:lang w:val="en-US"/>
        </w:rPr>
        <w:t>føglende</w:t>
      </w:r>
      <w:proofErr w:type="spellEnd"/>
      <w:r w:rsidR="00B56983" w:rsidRPr="00B84550">
        <w:rPr>
          <w:color w:val="4BACC6" w:themeColor="accent5"/>
          <w:lang w:val="en-US"/>
        </w:rPr>
        <w:t xml:space="preserve"> </w:t>
      </w:r>
      <w:proofErr w:type="spellStart"/>
      <w:r w:rsidR="00B56983" w:rsidRPr="00B84550">
        <w:rPr>
          <w:color w:val="4BACC6" w:themeColor="accent5"/>
          <w:lang w:val="en-US"/>
        </w:rPr>
        <w:t>er</w:t>
      </w:r>
      <w:proofErr w:type="spellEnd"/>
      <w:r w:rsidR="00B56983" w:rsidRPr="00B84550">
        <w:rPr>
          <w:color w:val="4BACC6" w:themeColor="accent5"/>
          <w:lang w:val="en-US"/>
        </w:rPr>
        <w:t xml:space="preserve"> </w:t>
      </w:r>
      <w:r w:rsidR="00A555AD">
        <w:rPr>
          <w:color w:val="4BACC6" w:themeColor="accent5"/>
          <w:lang w:val="en-US"/>
        </w:rPr>
        <w:t xml:space="preserve">overall </w:t>
      </w:r>
      <w:r w:rsidR="00A555AD" w:rsidRPr="00B84550">
        <w:rPr>
          <w:color w:val="4BACC6" w:themeColor="accent5"/>
          <w:lang w:val="en-US"/>
        </w:rPr>
        <w:t>C#</w:t>
      </w:r>
      <w:r w:rsidR="00667D92" w:rsidRPr="00B84550">
        <w:rPr>
          <w:color w:val="4BACC6" w:themeColor="accent5"/>
          <w:lang w:val="en-US"/>
        </w:rPr>
        <w:t xml:space="preserve"> .Net</w:t>
      </w:r>
      <w:r w:rsidR="00B56983" w:rsidRPr="00B84550">
        <w:rPr>
          <w:color w:val="4BACC6" w:themeColor="accent5"/>
          <w:lang w:val="en-US"/>
        </w:rPr>
        <w:t xml:space="preserve"> </w:t>
      </w:r>
      <w:r w:rsidR="00DB20C3" w:rsidRPr="00B84550">
        <w:rPr>
          <w:color w:val="4BACC6" w:themeColor="accent5"/>
          <w:lang w:val="en-US"/>
        </w:rPr>
        <w:t xml:space="preserve">4.5 </w:t>
      </w:r>
      <w:r w:rsidR="00A555AD">
        <w:rPr>
          <w:color w:val="4BACC6" w:themeColor="accent5"/>
          <w:lang w:val="en-US"/>
        </w:rPr>
        <w:t>components</w:t>
      </w:r>
      <w:r w:rsidR="00DC314D">
        <w:rPr>
          <w:color w:val="4BACC6" w:themeColor="accent5"/>
          <w:lang w:val="en-US"/>
        </w:rPr>
        <w:t xml:space="preserve"> </w:t>
      </w:r>
      <w:r w:rsidR="008A385F">
        <w:rPr>
          <w:color w:val="4BACC6" w:themeColor="accent5"/>
          <w:lang w:val="en-US"/>
        </w:rPr>
        <w:t>diagram</w:t>
      </w: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139pt" o:ole="">
            <v:imagedata r:id="rId18" o:title=""/>
          </v:shape>
          <o:OLEObject Type="Embed" ProgID="Visio.Drawing.15" ShapeID="_x0000_i1025" DrawAspect="Content" ObjectID="_1628008785" r:id="rId19"/>
        </w:object>
      </w:r>
    </w:p>
    <w:p w14:paraId="3F65E35D" w14:textId="502FB18B" w:rsidR="008B21E1" w:rsidRPr="008B21E1" w:rsidRDefault="008B21E1" w:rsidP="00490CAE">
      <w:pPr>
        <w:rPr>
          <w:lang w:val="en-US"/>
        </w:rPr>
      </w:pPr>
      <w:r>
        <w:rPr>
          <w:color w:val="4BACC6" w:themeColor="accent5"/>
          <w:lang w:val="en-US"/>
        </w:rPr>
        <w:lastRenderedPageBreak/>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9pt;height:327.5pt" o:ole="">
            <v:imagedata r:id="rId20" o:title=""/>
          </v:shape>
          <o:OLEObject Type="Embed" ProgID="Visio.Drawing.15" ShapeID="_x0000_i1026" DrawAspect="Content" ObjectID="_1628008786" r:id="rId21"/>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Paragraph"/>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Paragraph"/>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Paragraph"/>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1pt;height:384pt" o:ole="">
            <v:imagedata r:id="rId22" o:title=""/>
          </v:shape>
          <o:OLEObject Type="Embed" ProgID="Visio.Drawing.15" ShapeID="_x0000_i1027" DrawAspect="Content" ObjectID="_1628008787" r:id="rId23"/>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Paragraph"/>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Paragraph"/>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Paragraph"/>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Paragraph"/>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Paragraph"/>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Paragraph"/>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Paragraph"/>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1pt;height:387.5pt" o:ole="">
            <v:imagedata r:id="rId24" o:title=""/>
          </v:shape>
          <o:OLEObject Type="Embed" ProgID="Visio.Drawing.15" ShapeID="_x0000_i1028" DrawAspect="Content" ObjectID="_1628008788" r:id="rId25"/>
        </w:object>
      </w:r>
    </w:p>
    <w:p w14:paraId="3D581405" w14:textId="77777777" w:rsidR="00490CAE" w:rsidRPr="002F4DB3" w:rsidRDefault="00490CAE" w:rsidP="00525DD8">
      <w:pPr>
        <w:pStyle w:val="Heading2"/>
        <w:rPr>
          <w:lang w:val="en-US"/>
        </w:rPr>
      </w:pPr>
    </w:p>
    <w:sectPr w:rsidR="00490CAE" w:rsidRPr="002F4DB3">
      <w:head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F8EA8" w14:textId="77777777" w:rsidR="00613CFF" w:rsidRDefault="00613CFF" w:rsidP="00F23A0C">
      <w:pPr>
        <w:spacing w:after="0" w:line="240" w:lineRule="auto"/>
      </w:pPr>
      <w:r>
        <w:separator/>
      </w:r>
    </w:p>
  </w:endnote>
  <w:endnote w:type="continuationSeparator" w:id="0">
    <w:p w14:paraId="1B9B5686" w14:textId="77777777" w:rsidR="00613CFF" w:rsidRDefault="00613CFF"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A4443" w14:textId="77777777" w:rsidR="00613CFF" w:rsidRDefault="00613CFF" w:rsidP="00F23A0C">
      <w:pPr>
        <w:spacing w:after="0" w:line="240" w:lineRule="auto"/>
      </w:pPr>
      <w:r>
        <w:separator/>
      </w:r>
    </w:p>
  </w:footnote>
  <w:footnote w:type="continuationSeparator" w:id="0">
    <w:p w14:paraId="1462BDB4" w14:textId="77777777" w:rsidR="00613CFF" w:rsidRDefault="00613CFF"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7A8E"/>
    <w:rsid w:val="00021284"/>
    <w:rsid w:val="00054E59"/>
    <w:rsid w:val="000A4180"/>
    <w:rsid w:val="000A553B"/>
    <w:rsid w:val="000A7FDC"/>
    <w:rsid w:val="000C0194"/>
    <w:rsid w:val="000E3410"/>
    <w:rsid w:val="0010348A"/>
    <w:rsid w:val="00127EA0"/>
    <w:rsid w:val="001313BE"/>
    <w:rsid w:val="001452F2"/>
    <w:rsid w:val="00190C5C"/>
    <w:rsid w:val="001C4344"/>
    <w:rsid w:val="0021361F"/>
    <w:rsid w:val="00225DAB"/>
    <w:rsid w:val="00232FEC"/>
    <w:rsid w:val="002341AA"/>
    <w:rsid w:val="00235652"/>
    <w:rsid w:val="002662A0"/>
    <w:rsid w:val="00287B81"/>
    <w:rsid w:val="002C1829"/>
    <w:rsid w:val="002D2D84"/>
    <w:rsid w:val="002D5ABA"/>
    <w:rsid w:val="002F4DB3"/>
    <w:rsid w:val="00314488"/>
    <w:rsid w:val="00320797"/>
    <w:rsid w:val="003426CD"/>
    <w:rsid w:val="0035731F"/>
    <w:rsid w:val="00361851"/>
    <w:rsid w:val="003620AE"/>
    <w:rsid w:val="00405A90"/>
    <w:rsid w:val="00420265"/>
    <w:rsid w:val="0043119C"/>
    <w:rsid w:val="004312FE"/>
    <w:rsid w:val="00437F3D"/>
    <w:rsid w:val="004743DF"/>
    <w:rsid w:val="004834A6"/>
    <w:rsid w:val="00490CAE"/>
    <w:rsid w:val="0049640B"/>
    <w:rsid w:val="004C257E"/>
    <w:rsid w:val="00525DD8"/>
    <w:rsid w:val="00545DF3"/>
    <w:rsid w:val="00575101"/>
    <w:rsid w:val="00596636"/>
    <w:rsid w:val="005B2B92"/>
    <w:rsid w:val="005C1796"/>
    <w:rsid w:val="005D6F78"/>
    <w:rsid w:val="005F1B11"/>
    <w:rsid w:val="005F3DD0"/>
    <w:rsid w:val="00613CFF"/>
    <w:rsid w:val="00667D92"/>
    <w:rsid w:val="00670C7C"/>
    <w:rsid w:val="006854AD"/>
    <w:rsid w:val="0069002F"/>
    <w:rsid w:val="006D7449"/>
    <w:rsid w:val="00743280"/>
    <w:rsid w:val="007468B4"/>
    <w:rsid w:val="00767B26"/>
    <w:rsid w:val="00773A39"/>
    <w:rsid w:val="00775689"/>
    <w:rsid w:val="007A0930"/>
    <w:rsid w:val="007B7BDA"/>
    <w:rsid w:val="007C6CB4"/>
    <w:rsid w:val="007F4882"/>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E7094"/>
    <w:rsid w:val="00A2377F"/>
    <w:rsid w:val="00A343AF"/>
    <w:rsid w:val="00A555AD"/>
    <w:rsid w:val="00A55C61"/>
    <w:rsid w:val="00A65054"/>
    <w:rsid w:val="00AF4048"/>
    <w:rsid w:val="00AF4920"/>
    <w:rsid w:val="00B0667F"/>
    <w:rsid w:val="00B24DDA"/>
    <w:rsid w:val="00B37B32"/>
    <w:rsid w:val="00B4299A"/>
    <w:rsid w:val="00B56983"/>
    <w:rsid w:val="00B61E5A"/>
    <w:rsid w:val="00B630FC"/>
    <w:rsid w:val="00B6612A"/>
    <w:rsid w:val="00B73529"/>
    <w:rsid w:val="00B84550"/>
    <w:rsid w:val="00BA0161"/>
    <w:rsid w:val="00BC37BE"/>
    <w:rsid w:val="00BD0AED"/>
    <w:rsid w:val="00BE01EB"/>
    <w:rsid w:val="00BE5297"/>
    <w:rsid w:val="00BE6232"/>
    <w:rsid w:val="00C06269"/>
    <w:rsid w:val="00C162AC"/>
    <w:rsid w:val="00C372B4"/>
    <w:rsid w:val="00C408B0"/>
    <w:rsid w:val="00C75215"/>
    <w:rsid w:val="00C9386F"/>
    <w:rsid w:val="00CA07B7"/>
    <w:rsid w:val="00CE5070"/>
    <w:rsid w:val="00D33F08"/>
    <w:rsid w:val="00D85671"/>
    <w:rsid w:val="00DB20C3"/>
    <w:rsid w:val="00DC314D"/>
    <w:rsid w:val="00E202A8"/>
    <w:rsid w:val="00E37286"/>
    <w:rsid w:val="00E54FAD"/>
    <w:rsid w:val="00E81229"/>
    <w:rsid w:val="00ED2C96"/>
    <w:rsid w:val="00F23A0C"/>
    <w:rsid w:val="00F44799"/>
    <w:rsid w:val="00F81524"/>
    <w:rsid w:val="00F845BE"/>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image" Target="media/image3.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github.com/the-danish-national-archives/1007plus/network/dependencies" TargetMode="External"/><Relationship Id="rId25"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lo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nodejs-base64" TargetMode="External"/><Relationship Id="rId23" Type="http://schemas.openxmlformats.org/officeDocument/2006/relationships/package" Target="embeddings/Microsoft_Visio_Drawing2.vsdx"/><Relationship Id="rId28" Type="http://schemas.openxmlformats.org/officeDocument/2006/relationships/theme" Target="theme/theme1.xml"/><Relationship Id="rId10" Type="http://schemas.openxmlformats.org/officeDocument/2006/relationships/hyperlink" Target="http://environmentvariables.org/UserProfile" TargetMode="Externa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 Id="rId22" Type="http://schemas.openxmlformats.org/officeDocument/2006/relationships/image" Target="media/image5.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A420F-6DDB-43A7-BED0-B9C249F00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2222</Words>
  <Characters>13558</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48</cp:revision>
  <cp:lastPrinted>2019-03-05T14:06:00Z</cp:lastPrinted>
  <dcterms:created xsi:type="dcterms:W3CDTF">2019-07-01T16:59:00Z</dcterms:created>
  <dcterms:modified xsi:type="dcterms:W3CDTF">2019-08-22T17:53:00Z</dcterms:modified>
</cp:coreProperties>
</file>