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fldChar w:fldCharType="begin"/>
      </w:r>
      <w:r>
        <w:rPr>
          <w:rFonts w:hint="eastAsia" w:ascii="仿宋_GB2312" w:hAnsi="仿宋_GB2312" w:eastAsia="仿宋_GB2312" w:cs="仿宋_GB2312"/>
          <w:sz w:val="28"/>
          <w:szCs w:val="28"/>
        </w:rPr>
        <w:instrText xml:space="preserve"> HYPERLINK "http://www.012395.com/e/DoInfo/AddInfo.php?mid=15&amp;enews=MAddInfo&amp;classid=115&amp;Submit=%E6%B7%BB%E5%8A%A0%E4%BF%A1%E6%81%AF" </w:instrText>
      </w:r>
      <w:r>
        <w:rPr>
          <w:rFonts w:hint="eastAsia" w:ascii="仿宋_GB2312" w:hAnsi="仿宋_GB2312" w:eastAsia="仿宋_GB2312" w:cs="仿宋_GB2312"/>
          <w:sz w:val="28"/>
          <w:szCs w:val="28"/>
        </w:rPr>
        <w:fldChar w:fldCharType="separate"/>
      </w:r>
      <w:r>
        <w:rPr>
          <w:rStyle w:val="4"/>
          <w:rFonts w:hint="eastAsia" w:ascii="仿宋_GB2312" w:hAnsi="仿宋_GB2312" w:eastAsia="仿宋_GB2312" w:cs="仿宋_GB2312"/>
          <w:sz w:val="28"/>
          <w:szCs w:val="28"/>
        </w:rPr>
        <w:t>http://www.012395.com/e/DoInfo/AddInfo.php?mid=15&amp;enews=MAddInfo&amp;classid=115&amp;Submit=%E6%B7%BB%E5%8A%A0%E4%BF%A1%E6%81%AF</w:t>
      </w:r>
      <w:r>
        <w:rPr>
          <w:rFonts w:hint="eastAsia" w:ascii="仿宋_GB2312" w:hAnsi="仿宋_GB2312" w:eastAsia="仿宋_GB2312" w:cs="仿宋_GB2312"/>
          <w:sz w:val="28"/>
          <w:szCs w:val="28"/>
        </w:rPr>
        <w:fldChar w:fldCharType="end"/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本网站 链接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用户名changjiang2密码owen1216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点到 货源发布   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对方网站货源信息复制的内容  主要两种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一、货源名称煤炭航线类别长江-内河所需船型单机货物吨位5700发出港镇江　到达港芜湖　发布时间2021-03-19装运期限2021-03-19至2021-03-19浏览次数6次运价元/吨联系人： 顾孝飞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联系电话：15896025008 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二、名称 玉米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运价 电议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吨位 2000吨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发出港 上海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所属省市 上海-上海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到达港 万州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到达省市 重庆 -重庆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包装 散装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类型 长江-内河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发货日期 2021-03-19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截止日期 2021-03-22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是否交易 未交易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是否置顶 未置顶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备注 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联系方式 公司名: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联系人:冉经理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手机:15178928777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QQ号: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3695700" cy="5067300"/>
            <wp:effectExtent l="0" t="0" r="0" b="0"/>
            <wp:docPr id="1" name="图片 1" descr="9f00335fe7fc76cb2146cec4074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00335fe7fc76cb2146cec40747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复制来的内容能  填入到货源发布页面  对应 货源名称、吨位、发出地、到达地、联系人、联系电话。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第一条信息 货源名称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煤炭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航线类别长江-内河所需船型单机货物吨位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5700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发出港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镇江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　到达港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芜湖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　发布时间2021-03-19装运期限2021-03-19至2021-03-19浏览次数6次运价元/吨联系人： 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顾孝飞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联系电话：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15896025008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  对应如图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3676650" cy="5229225"/>
            <wp:effectExtent l="0" t="0" r="0" b="9525"/>
            <wp:docPr id="3" name="图片 3" descr="1616144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614457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第二条信息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名称 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玉米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运价 电议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吨位 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2000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吨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发出港 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 xml:space="preserve">上海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所属省市 上海-上海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到达港 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 xml:space="preserve">万州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到达省市 重庆 -重庆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包装 散装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类型 长江-内河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发货日期 2021-03-19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截止日期 2021-03-22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是否交易 未交易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是否置顶 未置顶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备注 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联系方式 公司名: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联系人: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冉经理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手机: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15178928777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QQ号: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对应如图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3438525" cy="4953000"/>
            <wp:effectExtent l="0" t="0" r="9525" b="0"/>
            <wp:docPr id="4" name="图片 4" descr="16161448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614486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按格式能自动复制到我方网站窗口，改变手工复制繁琐模式。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同理  船源信息  也是</w:t>
      </w:r>
    </w:p>
    <w:p>
      <w:pP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船舶吨位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>650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发出港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>江阴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　到达港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>不限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　发布时间2021-03-19装运期限2021-03-19至2021-03-19浏览次数8次可放空地联系人： 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>徐强</w:t>
      </w:r>
    </w:p>
    <w:p>
      <w:pPr>
        <w:rPr>
          <w:rFonts w:hint="eastAsia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联系电话：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>15206767876 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8"/>
          <w:szCs w:val="28"/>
          <w:lang w:val="en-US" w:eastAsia="zh-CN"/>
        </w:rPr>
        <w:t>对应如图</w:t>
      </w:r>
      <w:r>
        <w:rPr>
          <w:rFonts w:hint="eastAsia" w:ascii="仿宋_GB2312" w:hAnsi="仿宋_GB2312" w:eastAsia="仿宋_GB2312" w:cs="仿宋_GB2312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4467225" cy="5248275"/>
            <wp:effectExtent l="0" t="0" r="9525" b="9525"/>
            <wp:docPr id="5" name="图片 5" descr="16161452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614521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所在港 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>常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 xml:space="preserve">州 </w:t>
      </w:r>
    </w:p>
    <w:p>
      <w:pP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到达港 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 xml:space="preserve">盐城、泰州、无锡、苏州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吨位 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 xml:space="preserve">630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类型 散货船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空船日期 2021-03-19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截止日期 2021-03-21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航线 长江-内河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封仓形式 棚架封仓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所属省市 江苏常州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是否交易 未交易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是否置顶 未置顶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 xml:space="preserve">备注  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>联系方式 公司名:</w:t>
      </w: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>联系人: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>宗克前</w:t>
      </w:r>
    </w:p>
    <w:p>
      <w:pP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t>手机: </w:t>
      </w:r>
      <w: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  <w:t xml:space="preserve">13921057029 </w:t>
      </w:r>
    </w:p>
    <w:p>
      <w:pPr>
        <w:rPr>
          <w:rFonts w:hint="default" w:ascii="仿宋_GB2312" w:hAnsi="仿宋_GB2312" w:eastAsia="仿宋_GB2312" w:cs="仿宋_GB2312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bookmarkStart w:id="0" w:name="_GoBack"/>
    </w:p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8"/>
          <w:szCs w:val="28"/>
          <w:lang w:val="en-US" w:eastAsia="zh-CN"/>
        </w:rPr>
        <w:t>对应如下图</w:t>
      </w:r>
    </w:p>
    <w:bookmarkEnd w:id="0"/>
    <w:p>
      <w:pP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271135" cy="5213350"/>
            <wp:effectExtent l="0" t="0" r="5715" b="6350"/>
            <wp:docPr id="6" name="图片 6" descr="16161454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614540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C79D0"/>
    <w:rsid w:val="52CC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2021-03-19T08:52:00Z</dcterms:created>
  <dc:creator>徐剑</dc:creator>
  <cp:lastModifiedBy>徐剑</cp:lastModifiedBy>
  <dcterms:modified xsi:type="dcterms:W3CDTF">2021-03-19T09:19:24Z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D47B41757CFD4955833C3483D9D4CD76</vt:lpwstr>
  </property>
</Properties>
</file>