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150B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Document: HealthData Insights Platform</w:t>
      </w:r>
    </w:p>
    <w:p w14:paraId="3ED728EE" w14:textId="77777777" w:rsidR="00E75C84" w:rsidRPr="00E75C84" w:rsidRDefault="00E75C84" w:rsidP="00E7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design and architecture of the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HealthData Insights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platform. Its purpose is to provide a comprehensive overview for conducting a thorough threat modeling analysis.</w:t>
      </w:r>
    </w:p>
    <w:p w14:paraId="5F49F585" w14:textId="77777777" w:rsidR="00E75C84" w:rsidRPr="00E75C84" w:rsidRDefault="004F242B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242B">
        <w:rPr>
          <w:rFonts w:ascii="Times New Roman" w:eastAsia="Times New Roman" w:hAnsi="Times New Roman" w:cs="Times New Roman"/>
          <w:noProof/>
          <w:kern w:val="0"/>
        </w:rPr>
        <w:pict w14:anchorId="3B5743A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35CDEF6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System Overview </w:t>
      </w:r>
      <w:r w:rsidRPr="00E75C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🩺</w:t>
      </w:r>
    </w:p>
    <w:p w14:paraId="0CE24F93" w14:textId="77777777" w:rsidR="00E75C84" w:rsidRPr="00E75C84" w:rsidRDefault="00E75C84" w:rsidP="00E7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HealthData Insights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is a cloud-based Software-as-a-Service (SaaS) platform designed for medical researchers. It allows registered research institutions to upload anonymized patient datasets, process them using built-in analysis tools, and collaborate on findings. The system prioritizes data security, integrity, and compliance with regulations like GDPR and HIPAA.</w:t>
      </w:r>
    </w:p>
    <w:p w14:paraId="61136376" w14:textId="77777777" w:rsidR="00E75C84" w:rsidRPr="00E75C84" w:rsidRDefault="00E75C84" w:rsidP="00E7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functionalities:</w:t>
      </w:r>
    </w:p>
    <w:p w14:paraId="3FDB9463" w14:textId="77777777" w:rsidR="00E75C84" w:rsidRPr="00E75C84" w:rsidRDefault="00E75C84" w:rsidP="00E7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User and organization management.</w:t>
      </w:r>
    </w:p>
    <w:p w14:paraId="65D870BB" w14:textId="77777777" w:rsidR="00E75C84" w:rsidRPr="00E75C84" w:rsidRDefault="00E75C84" w:rsidP="00E7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Secure, encrypted upload and storage of large datasets (e.g., genomic data, clinical trial results).</w:t>
      </w:r>
    </w:p>
    <w:p w14:paraId="3B699CD0" w14:textId="77777777" w:rsidR="00E75C84" w:rsidRPr="00E75C84" w:rsidRDefault="00E75C84" w:rsidP="00E7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A suite of data analysis tools (e.g., statistical analysis, machine learning model training).</w:t>
      </w:r>
    </w:p>
    <w:p w14:paraId="5DB19A19" w14:textId="77777777" w:rsidR="00E75C84" w:rsidRPr="00E75C84" w:rsidRDefault="00E75C84" w:rsidP="00E75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Collaboration features for sharing analysis results within a research organization.</w:t>
      </w:r>
    </w:p>
    <w:p w14:paraId="01719650" w14:textId="77777777" w:rsidR="00E75C84" w:rsidRPr="00E75C84" w:rsidRDefault="004F242B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242B">
        <w:rPr>
          <w:rFonts w:ascii="Times New Roman" w:eastAsia="Times New Roman" w:hAnsi="Times New Roman" w:cs="Times New Roman"/>
          <w:noProof/>
          <w:kern w:val="0"/>
        </w:rPr>
        <w:pict w14:anchorId="1DCBFBF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DA03DBF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Key Use Cases</w:t>
      </w:r>
    </w:p>
    <w:p w14:paraId="076DBB8E" w14:textId="77777777" w:rsidR="00E75C84" w:rsidRPr="00E75C84" w:rsidRDefault="00E75C84" w:rsidP="00E75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UC-1: Researcher Registration &amp; Authentication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 new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from a subscribed institution registers for an account. The system verifies their institutional email. Subsequent logins are handled via a multi-factor authentication (MFA) process.</w:t>
      </w:r>
    </w:p>
    <w:p w14:paraId="17C0FC7F" w14:textId="77777777" w:rsidR="00E75C84" w:rsidRPr="00E75C84" w:rsidRDefault="00E75C84" w:rsidP="00E75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UC-2: Data Upload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An authenticated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uploads a large, anonymized dataset in CSV or JSON format from their local machine via a web interface. The data is transferred over HTTPS to the platform's ingestion service.</w:t>
      </w:r>
    </w:p>
    <w:p w14:paraId="61A359AB" w14:textId="77777777" w:rsidR="00E75C84" w:rsidRPr="00E75C84" w:rsidRDefault="00E75C84" w:rsidP="00E75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UC-3: Data Processing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initiates a data analysis job (e.g., "Variant Calling") on an uploaded dataset. A processing worker retrieves the data, performs the computation, and stores the results.</w:t>
      </w:r>
    </w:p>
    <w:p w14:paraId="52B3E48A" w14:textId="77777777" w:rsidR="00E75C84" w:rsidRPr="00E75C84" w:rsidRDefault="00E75C84" w:rsidP="00E75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UC-4: Results Viewing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views the results of a completed analysis job through the web interface. The results are rendered as visualizations and downloadable reports.</w:t>
      </w:r>
    </w:p>
    <w:p w14:paraId="5A535FCB" w14:textId="77777777" w:rsidR="00E75C84" w:rsidRPr="00E75C84" w:rsidRDefault="00E75C84" w:rsidP="00E75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UC-5: Admin Role Management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An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Admin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(a type of Researcher) can invite or remove other researchers from their institution's account.</w:t>
      </w:r>
    </w:p>
    <w:p w14:paraId="4B8ECA88" w14:textId="77777777" w:rsidR="00E75C84" w:rsidRPr="00E75C84" w:rsidRDefault="004F242B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242B">
        <w:rPr>
          <w:rFonts w:ascii="Times New Roman" w:eastAsia="Times New Roman" w:hAnsi="Times New Roman" w:cs="Times New Roman"/>
          <w:noProof/>
          <w:kern w:val="0"/>
        </w:rPr>
        <w:pict w14:anchorId="358E34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FFCB0CD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Flow Diagrams (DFDs)</w:t>
      </w:r>
    </w:p>
    <w:p w14:paraId="5C1789CE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DFD Level 0: Context Diagram</w:t>
      </w:r>
    </w:p>
    <w:p w14:paraId="0E0E7BCE" w14:textId="77777777" w:rsidR="00E75C84" w:rsidRPr="00E75C84" w:rsidRDefault="00E75C84" w:rsidP="00E7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A single process,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HealthData Insights Platform (1.0)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, interacts with three external entities:</w:t>
      </w:r>
    </w:p>
    <w:p w14:paraId="5CB04AC0" w14:textId="77777777" w:rsidR="00E75C84" w:rsidRPr="00E75C84" w:rsidRDefault="00E75C84" w:rsidP="00E75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Sends login credentials, upload data, and analysis requests. Receives session tokens and analysis results.</w:t>
      </w:r>
    </w:p>
    <w:p w14:paraId="72309B70" w14:textId="77777777" w:rsidR="00E75C84" w:rsidRPr="00E75C84" w:rsidRDefault="00E75C84" w:rsidP="00E75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Admin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Sends user management requests. Receives confirmation.</w:t>
      </w:r>
    </w:p>
    <w:p w14:paraId="4DC802E9" w14:textId="77777777" w:rsidR="00E75C84" w:rsidRPr="00E75C84" w:rsidRDefault="00E75C84" w:rsidP="00E75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Identity Provider (IdP)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Interacts with the platform for SAML-based Single Sign-On (SSO) for enterprise clients.</w:t>
      </w:r>
    </w:p>
    <w:p w14:paraId="0D247BCA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DFD Level 1: High-Level Process Breakdown</w:t>
      </w:r>
    </w:p>
    <w:p w14:paraId="4BADB160" w14:textId="77777777" w:rsidR="00E75C84" w:rsidRPr="00E75C84" w:rsidRDefault="00E75C84" w:rsidP="00E75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1.1: User Authentication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7A842B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Credentials from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2D4CB9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Session Token to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E52CA6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Interacts with </w:t>
      </w:r>
      <w:r w:rsidRPr="00E75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UsersDB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EB52C" w14:textId="77777777" w:rsidR="00E75C84" w:rsidRPr="00E75C84" w:rsidRDefault="00E75C84" w:rsidP="00E75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1.2: Data Ingestion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A91CCB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Anonymized Dataset from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C28059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Dataset write confirmation.</w:t>
      </w:r>
    </w:p>
    <w:p w14:paraId="0CC29FB1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Writes to </w:t>
      </w:r>
      <w:r w:rsidRPr="00E75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RawDataBucket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4F61C" w14:textId="77777777" w:rsidR="00E75C84" w:rsidRPr="00E75C84" w:rsidRDefault="00E75C84" w:rsidP="00E75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1.3: Data Analysis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125B7A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Analysis Job Request from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4C1FDA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Job status update.</w:t>
      </w:r>
    </w:p>
    <w:p w14:paraId="696EC170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Stores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Reads from </w:t>
      </w:r>
      <w:r w:rsidRPr="00E75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RawDataBucket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, writes to </w:t>
      </w:r>
      <w:r w:rsidRPr="00E75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ProcessedDataBucket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75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ResultsDB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FFDE52" w14:textId="77777777" w:rsidR="00E75C84" w:rsidRPr="00E75C84" w:rsidRDefault="00E75C84" w:rsidP="00E75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1.4: Results Presentation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00DA8F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View Results Request from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CD99EF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Formatted Results to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973493" w14:textId="77777777" w:rsidR="00E75C84" w:rsidRPr="00E75C84" w:rsidRDefault="00E75C84" w:rsidP="00E75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Reads from </w:t>
      </w:r>
      <w:r w:rsidRPr="00E75C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ResultsDB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C8C192" w14:textId="77777777" w:rsidR="00E75C84" w:rsidRPr="00E75C84" w:rsidRDefault="00E75C84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pict w14:anchorId="2B8CA944">
          <v:rect id="_x0000_i1028" style="width:0;height:1.5pt" o:hralign="center" o:hrstd="t" o:hr="t" fillcolor="#a0a0a0" stroked="f"/>
        </w:pict>
      </w:r>
    </w:p>
    <w:p w14:paraId="43B6D388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Architecture Views </w:t>
      </w:r>
      <w:r w:rsidRPr="00E75C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🏗️</w:t>
      </w:r>
    </w:p>
    <w:p w14:paraId="57DDEBE9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View</w:t>
      </w:r>
    </w:p>
    <w:p w14:paraId="77B02BDF" w14:textId="77777777" w:rsidR="00E75C84" w:rsidRPr="00E75C84" w:rsidRDefault="00E75C84" w:rsidP="00E7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The system is composed of several microservices orchestrated via an API Gateway.</w:t>
      </w:r>
    </w:p>
    <w:p w14:paraId="3C900F3C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Web App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A Single Page Application (SPA) built with React that runs in the user's browser. It communicates with the backend via the API Gateway.</w:t>
      </w:r>
    </w:p>
    <w:p w14:paraId="7DA548FC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A central entry point for all client requests. It handles routing, rate limiting, and initial authentication token validation.</w:t>
      </w:r>
    </w:p>
    <w:p w14:paraId="48EDE3BB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Service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Manages user registration, login, MFA, and session token generation (JWTs).</w:t>
      </w:r>
    </w:p>
    <w:p w14:paraId="69466442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Ingestion Service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Handles large file uploads, validates file formats, and places data into a temporary storage queue.</w:t>
      </w:r>
    </w:p>
    <w:p w14:paraId="4C812453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Analysis Orchestrator Service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Manages the lifecycle of analysis jobs. It listens for new job requests, queues them, and triggers processing workers.</w:t>
      </w:r>
    </w:p>
    <w:p w14:paraId="115B50A8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Workers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A pool of containerized applications that perform the actual computation. They are ephemeral and scale based on demand. They fetch data from storage, process it, and write the results back.</w:t>
      </w:r>
    </w:p>
    <w:p w14:paraId="773201F6" w14:textId="77777777" w:rsidR="00E75C84" w:rsidRPr="00E75C84" w:rsidRDefault="00E75C84" w:rsidP="00E75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Service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Provides endpoints for querying and retrieving processed results and metadata.</w:t>
      </w:r>
    </w:p>
    <w:p w14:paraId="54823EC4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/ Deployment View</w:t>
      </w:r>
    </w:p>
    <w:p w14:paraId="23AEBD8C" w14:textId="77777777" w:rsidR="00E75C84" w:rsidRPr="00E75C84" w:rsidRDefault="00E75C84" w:rsidP="00E7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The entire platform is deployed on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Web Services (AWS)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within a single region (eu-central-1), distributed across multiple Availability Zones (AZs) for high availability.</w:t>
      </w:r>
    </w:p>
    <w:p w14:paraId="01AA5D42" w14:textId="77777777" w:rsidR="00E75C84" w:rsidRPr="00E75C84" w:rsidRDefault="00E75C84" w:rsidP="00E7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 (Virtual Private Cloud)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The core network boundary.</w:t>
      </w:r>
    </w:p>
    <w:p w14:paraId="7FC865B2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Subnet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Contains the Application Load Balancer (ALB), which acts as the public-facing entry point.</w:t>
      </w:r>
    </w:p>
    <w:p w14:paraId="45F24AC3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 Subnets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Contain all backend services and databases. These services do not have public IP addresses and can only be accessed through the ALB or via internal networking.</w:t>
      </w:r>
    </w:p>
    <w:p w14:paraId="7B2AEBD6" w14:textId="77777777" w:rsidR="00E75C84" w:rsidRPr="00E75C84" w:rsidRDefault="00E75C84" w:rsidP="00E7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A65825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Services like the API Gateway, Authentication, Orchestrator, and Results are deployed as containers on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Fargate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905064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Workers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are also run as Fargate tasks, scaled independently by an SQS queue length metric.</w:t>
      </w:r>
    </w:p>
    <w:p w14:paraId="1B68FB13" w14:textId="77777777" w:rsidR="00E75C84" w:rsidRPr="00E75C84" w:rsidRDefault="00E75C84" w:rsidP="00E7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Stores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74CD37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UsersDB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An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for PostgreSQL instance (Multi-AZ).</w:t>
      </w:r>
    </w:p>
    <w:p w14:paraId="0CF16B22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RawDataBucket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r w:rsidRPr="00E75C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ProcessedDataBucket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S3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buckets with encryption at rest (SSE-S3) enabled, versioning, and strict bucket policies. Access is granted via IAM roles.</w:t>
      </w:r>
    </w:p>
    <w:p w14:paraId="24A7BB04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ResultsDB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An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DynamoDB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table for storing analysis metadata and results.</w:t>
      </w:r>
    </w:p>
    <w:p w14:paraId="51BE3CC1" w14:textId="77777777" w:rsidR="00E75C84" w:rsidRPr="00E75C84" w:rsidRDefault="00E75C84" w:rsidP="00E7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2D89B7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All traffic from the internet enters through the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, which terminates TLS (HTTPS).</w:t>
      </w:r>
    </w:p>
    <w:p w14:paraId="1008DD8B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Communication between services inside the VPC is done over the internal network.</w:t>
      </w:r>
    </w:p>
    <w:p w14:paraId="3F27C97B" w14:textId="77777777" w:rsidR="00E75C84" w:rsidRPr="00E75C84" w:rsidRDefault="00E75C84" w:rsidP="00E75C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WAF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(Web Application Firewall) is configured on the ALB to protect against common web exploits.</w:t>
      </w:r>
    </w:p>
    <w:p w14:paraId="74693F0F" w14:textId="77777777" w:rsidR="00E75C84" w:rsidRPr="00E75C84" w:rsidRDefault="004F242B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242B">
        <w:rPr>
          <w:rFonts w:ascii="Times New Roman" w:eastAsia="Times New Roman" w:hAnsi="Times New Roman" w:cs="Times New Roman"/>
          <w:noProof/>
          <w:kern w:val="0"/>
        </w:rPr>
        <w:pict w14:anchorId="4E4654C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4A51851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Technology Stack </w:t>
      </w:r>
      <w:r w:rsidRPr="00E75C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5728"/>
      </w:tblGrid>
      <w:tr w:rsidR="00E75C84" w:rsidRPr="00E75C84" w14:paraId="7B418E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28443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B8D7F5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Technology/Service</w:t>
            </w:r>
          </w:p>
        </w:tc>
      </w:tr>
      <w:tr w:rsidR="00E75C84" w:rsidRPr="00E75C84" w14:paraId="5014C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0152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3B273E3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React, TypeScript</w:t>
            </w:r>
          </w:p>
        </w:tc>
      </w:tr>
      <w:tr w:rsidR="00E75C84" w:rsidRPr="00E75C84" w14:paraId="6CA11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16DF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Backend Services</w:t>
            </w:r>
          </w:p>
        </w:tc>
        <w:tc>
          <w:tcPr>
            <w:tcW w:w="0" w:type="auto"/>
            <w:vAlign w:val="center"/>
            <w:hideMark/>
          </w:tcPr>
          <w:p w14:paraId="1D2D4447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Node.js with Express.js, Python for data processing</w:t>
            </w:r>
          </w:p>
        </w:tc>
      </w:tr>
      <w:tr w:rsidR="00E75C84" w:rsidRPr="00E75C84" w14:paraId="5E5D9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D7F5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54A1CDB6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API Gateway</w:t>
            </w:r>
          </w:p>
        </w:tc>
      </w:tr>
      <w:tr w:rsidR="00E75C84" w:rsidRPr="00E75C84" w14:paraId="22BE1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C7EB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4FA25C5C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Fargate (Docker containers)</w:t>
            </w:r>
          </w:p>
        </w:tc>
      </w:tr>
      <w:tr w:rsidR="00E75C84" w:rsidRPr="00E75C84" w14:paraId="35FCF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A50D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 Database</w:t>
            </w:r>
          </w:p>
        </w:tc>
        <w:tc>
          <w:tcPr>
            <w:tcW w:w="0" w:type="auto"/>
            <w:vAlign w:val="center"/>
            <w:hideMark/>
          </w:tcPr>
          <w:p w14:paraId="4B7DD90F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RDS for PostgreSQL</w:t>
            </w:r>
          </w:p>
        </w:tc>
      </w:tr>
      <w:tr w:rsidR="00E75C84" w:rsidRPr="00E75C84" w14:paraId="53D5C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80CF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NoSQL Database</w:t>
            </w:r>
          </w:p>
        </w:tc>
        <w:tc>
          <w:tcPr>
            <w:tcW w:w="0" w:type="auto"/>
            <w:vAlign w:val="center"/>
            <w:hideMark/>
          </w:tcPr>
          <w:p w14:paraId="43D169D4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DynamoDB</w:t>
            </w:r>
          </w:p>
        </w:tc>
      </w:tr>
      <w:tr w:rsidR="00E75C84" w:rsidRPr="00E75C84" w14:paraId="4C391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1DFB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63AF03FE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S3</w:t>
            </w:r>
          </w:p>
        </w:tc>
      </w:tr>
      <w:tr w:rsidR="00E75C84" w:rsidRPr="00E75C84" w14:paraId="5E425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EBCA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 Queue</w:t>
            </w:r>
          </w:p>
        </w:tc>
        <w:tc>
          <w:tcPr>
            <w:tcW w:w="0" w:type="auto"/>
            <w:vAlign w:val="center"/>
            <w:hideMark/>
          </w:tcPr>
          <w:p w14:paraId="7C5B8676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SQS (for analysis job queue)</w:t>
            </w:r>
          </w:p>
        </w:tc>
      </w:tr>
      <w:tr w:rsidR="00E75C84" w:rsidRPr="00E75C84" w14:paraId="0B8BD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3C9A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5E58B104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Actions, AWS CodePipeline</w:t>
            </w:r>
          </w:p>
        </w:tc>
      </w:tr>
      <w:tr w:rsidR="00E75C84" w:rsidRPr="00E75C84" w14:paraId="47A16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6B7C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IaC</w:t>
            </w:r>
          </w:p>
        </w:tc>
        <w:tc>
          <w:tcPr>
            <w:tcW w:w="0" w:type="auto"/>
            <w:vAlign w:val="center"/>
            <w:hideMark/>
          </w:tcPr>
          <w:p w14:paraId="09D83CCE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CDK (Cloud Development Kit) / Terraform</w:t>
            </w:r>
          </w:p>
        </w:tc>
      </w:tr>
      <w:tr w:rsidR="00E75C84" w:rsidRPr="00E75C84" w14:paraId="3FE269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FC09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A61AACD" w14:textId="77777777" w:rsidR="00E75C84" w:rsidRPr="00E75C84" w:rsidRDefault="00E75C84" w:rsidP="00E75C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C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JWTs, bcrypt for password hashing, SAML 2.0 integration</w:t>
            </w:r>
          </w:p>
        </w:tc>
      </w:tr>
    </w:tbl>
    <w:p w14:paraId="6C052D7C" w14:textId="77777777" w:rsidR="00E75C84" w:rsidRPr="00E75C84" w:rsidRDefault="00E75C84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Export to Sheets</w:t>
      </w:r>
    </w:p>
    <w:p w14:paraId="1DAEF033" w14:textId="77777777" w:rsidR="00E75C84" w:rsidRPr="00E75C84" w:rsidRDefault="004F242B" w:rsidP="00E75C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242B">
        <w:rPr>
          <w:rFonts w:ascii="Times New Roman" w:eastAsia="Times New Roman" w:hAnsi="Times New Roman" w:cs="Times New Roman"/>
          <w:noProof/>
          <w:kern w:val="0"/>
        </w:rPr>
        <w:pict w14:anchorId="7B2FC7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419BA2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Trust Boundaries &amp; External Dependencies</w:t>
      </w:r>
    </w:p>
    <w:p w14:paraId="7EFC7E26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Boundaries</w:t>
      </w:r>
    </w:p>
    <w:p w14:paraId="37807203" w14:textId="77777777" w:rsidR="00E75C84" w:rsidRPr="00E75C84" w:rsidRDefault="00E75C84" w:rsidP="00E75C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User Zone -&gt; Application Frontend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: The primary trust boundary. All input from the </w:t>
      </w: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Researcher's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 xml:space="preserve"> browser is untrusted.</w:t>
      </w:r>
    </w:p>
    <w:p w14:paraId="55A2C0D2" w14:textId="77777777" w:rsidR="00E75C84" w:rsidRPr="00E75C84" w:rsidRDefault="00E75C84" w:rsidP="00E75C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Internet -&gt; VPC Public Subnet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Traffic entering the ALB. Protected by AWS WAF.</w:t>
      </w:r>
    </w:p>
    <w:p w14:paraId="5FCC090F" w14:textId="77777777" w:rsidR="00E75C84" w:rsidRPr="00E75C84" w:rsidRDefault="00E75C84" w:rsidP="00E75C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 Public Subnet -&gt; VPC Private Subnet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All traffic to backend services is routed from the ALB and is considered more trusted, but still requires service-to-service authentication (e.g., via IAM roles).</w:t>
      </w:r>
    </w:p>
    <w:p w14:paraId="31847D4F" w14:textId="77777777" w:rsidR="00E75C84" w:rsidRPr="00E75C84" w:rsidRDefault="00E75C84" w:rsidP="00E75C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-&gt; Data Stores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The boundary between compute services and persistent storage. Access is controlled via strict IAM roles and database credentials.</w:t>
      </w:r>
    </w:p>
    <w:p w14:paraId="42C81904" w14:textId="77777777" w:rsidR="00E75C84" w:rsidRPr="00E75C84" w:rsidRDefault="00E75C84" w:rsidP="00E75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</w:t>
      </w:r>
    </w:p>
    <w:p w14:paraId="117475B7" w14:textId="77777777" w:rsidR="00E75C84" w:rsidRPr="00E75C84" w:rsidRDefault="00E75C84" w:rsidP="00E7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Identity Provider (IdP)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For enterprise customers using SSO, the platform trusts the SAML assertions provided by the customer's IdP (e.g., Azure AD, Okta). The connection and assertion signatures must be secure.</w:t>
      </w:r>
    </w:p>
    <w:p w14:paraId="3BD496FE" w14:textId="77777777" w:rsidR="00E75C84" w:rsidRPr="00E75C84" w:rsidRDefault="00E75C84" w:rsidP="00E7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 (e.g., Amazon SES)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Used for sending verification and notification emails. The platform trusts this service to deliver emails securely.</w:t>
      </w:r>
    </w:p>
    <w:p w14:paraId="65B159E0" w14:textId="77777777" w:rsidR="00E75C84" w:rsidRPr="00E75C84" w:rsidRDefault="00E75C84" w:rsidP="00E7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C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 / PyPI Registries</w:t>
      </w:r>
      <w:r w:rsidRPr="00E75C84">
        <w:rPr>
          <w:rFonts w:ascii="Times New Roman" w:eastAsia="Times New Roman" w:hAnsi="Times New Roman" w:cs="Times New Roman"/>
          <w:kern w:val="0"/>
          <w14:ligatures w14:val="none"/>
        </w:rPr>
        <w:t>: The software supply chain for third-party libraries used in development is an external dependency.</w:t>
      </w:r>
    </w:p>
    <w:p w14:paraId="034CC5AC" w14:textId="77777777" w:rsidR="00FF769F" w:rsidRDefault="00FF769F"/>
    <w:sectPr w:rsidR="00FF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E19"/>
    <w:multiLevelType w:val="multilevel"/>
    <w:tmpl w:val="FF92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2548"/>
    <w:multiLevelType w:val="multilevel"/>
    <w:tmpl w:val="E00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4980"/>
    <w:multiLevelType w:val="multilevel"/>
    <w:tmpl w:val="DC44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808D6"/>
    <w:multiLevelType w:val="multilevel"/>
    <w:tmpl w:val="2F1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5FB3"/>
    <w:multiLevelType w:val="multilevel"/>
    <w:tmpl w:val="4562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C3E45"/>
    <w:multiLevelType w:val="multilevel"/>
    <w:tmpl w:val="1EE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3E83"/>
    <w:multiLevelType w:val="multilevel"/>
    <w:tmpl w:val="D9E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B1AD3"/>
    <w:multiLevelType w:val="multilevel"/>
    <w:tmpl w:val="8D2C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45120">
    <w:abstractNumId w:val="5"/>
  </w:num>
  <w:num w:numId="2" w16cid:durableId="636573732">
    <w:abstractNumId w:val="1"/>
  </w:num>
  <w:num w:numId="3" w16cid:durableId="783231879">
    <w:abstractNumId w:val="2"/>
  </w:num>
  <w:num w:numId="4" w16cid:durableId="703408570">
    <w:abstractNumId w:val="3"/>
  </w:num>
  <w:num w:numId="5" w16cid:durableId="2018651000">
    <w:abstractNumId w:val="0"/>
  </w:num>
  <w:num w:numId="6" w16cid:durableId="922298841">
    <w:abstractNumId w:val="6"/>
  </w:num>
  <w:num w:numId="7" w16cid:durableId="1013453496">
    <w:abstractNumId w:val="4"/>
  </w:num>
  <w:num w:numId="8" w16cid:durableId="600722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84"/>
    <w:rsid w:val="00204793"/>
    <w:rsid w:val="004F242B"/>
    <w:rsid w:val="005E4A16"/>
    <w:rsid w:val="00E52740"/>
    <w:rsid w:val="00E75C84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B49E"/>
  <w15:chartTrackingRefBased/>
  <w15:docId w15:val="{E9CC713C-6A9E-A642-A621-47A445A9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5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5C84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E7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Von Rotz (2) (Consultant)</dc:creator>
  <cp:keywords/>
  <dc:description/>
  <cp:lastModifiedBy>Jeffrey Von Rotz (2) (Consultant)</cp:lastModifiedBy>
  <cp:revision>1</cp:revision>
  <dcterms:created xsi:type="dcterms:W3CDTF">2025-07-29T07:02:00Z</dcterms:created>
  <dcterms:modified xsi:type="dcterms:W3CDTF">2025-07-29T07:02:00Z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2025-07-29T07:02:27Z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632f0cd9-d9ca-48f8-a817-3ff87424b92e</vt:lpwstr>
  </property>
  <property fmtid="{D5CDD505-2E9C-101B-9397-08002B2CF9AE}" pid="8" name="MSIP_Label_19540963-e559-4020-8a90-fe8a502c2801_ContentBits">
    <vt:lpwstr>0</vt:lpwstr>
  </property>
  <property fmtid="{D5CDD505-2E9C-101B-9397-08002B2CF9AE}" pid="9" name="MSIP_Label_19540963-e559-4020-8a90-fe8a502c2801_Tag">
    <vt:lpwstr>50, 3, 0, 1</vt:lpwstr>
  </property>
</Properties>
</file>