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094B2445" w:rsidR="001916BD" w:rsidRDefault="001916BD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GABRIAL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578C1546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7F8D1EDA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-RJ. O serviço mostra em um mapa da região em que o usuário deseja estacionar o seu carro. Uma linha contendo faixas de cores indica a facilidade de se encontrar uma vaga na região.</w:t>
      </w:r>
    </w:p>
    <w:p w14:paraId="63E59AE9" w14:textId="507AFA6F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</w:t>
      </w:r>
      <w:r>
        <w:rPr>
          <w:rFonts w:cs="Arial"/>
        </w:rPr>
        <w:lastRenderedPageBreak/>
        <w:t>mesmo no asfalto, para detectar os espaços e vagas disponíveis. Informações como vagas, tipo de vaga e preço por hora são informadas pelo para o usuário.</w:t>
      </w:r>
    </w:p>
    <w:p w14:paraId="18E65642" w14:textId="4020A07F" w:rsidR="00120C3C" w:rsidRP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 e ocupadas, bem como controlar a maneira com que os veículos ocupam as vagas. Ele é capaz também de sugerir maneiras de economizar energia desligando a iluminação em locais não utilizados da garagem. O ponto negativo desta tecnologia é que ela está disponível apenas para o responsável do prédio.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lastRenderedPageBreak/>
        <w:t>8 Bibliografia</w:t>
      </w:r>
      <w:bookmarkStart w:id="0" w:name="_GoBack"/>
      <w:bookmarkEnd w:id="0"/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62FCC335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AUTOMOTIVE BUSINESS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70C47" w14:textId="77777777" w:rsidR="00D648A3" w:rsidRDefault="00D648A3" w:rsidP="006A27E6">
      <w:pPr>
        <w:spacing w:after="0" w:line="240" w:lineRule="auto"/>
      </w:pPr>
      <w:r>
        <w:separator/>
      </w:r>
    </w:p>
  </w:endnote>
  <w:endnote w:type="continuationSeparator" w:id="0">
    <w:p w14:paraId="087E9359" w14:textId="77777777" w:rsidR="00D648A3" w:rsidRDefault="00D648A3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6E4A4" w14:textId="77777777" w:rsidR="00D648A3" w:rsidRDefault="00D648A3" w:rsidP="006A27E6">
      <w:pPr>
        <w:spacing w:after="0" w:line="240" w:lineRule="auto"/>
      </w:pPr>
      <w:r>
        <w:separator/>
      </w:r>
    </w:p>
  </w:footnote>
  <w:footnote w:type="continuationSeparator" w:id="0">
    <w:p w14:paraId="76C4038D" w14:textId="77777777" w:rsidR="00D648A3" w:rsidRDefault="00D648A3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833F1"/>
    <w:rsid w:val="008A2C94"/>
    <w:rsid w:val="008D0648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63C5D"/>
    <w:rsid w:val="00A72702"/>
    <w:rsid w:val="00A74E2E"/>
    <w:rsid w:val="00AF1985"/>
    <w:rsid w:val="00B15D59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648A3"/>
    <w:rsid w:val="00DC56C5"/>
    <w:rsid w:val="00DD285C"/>
    <w:rsid w:val="00E11CCA"/>
    <w:rsid w:val="00E4284A"/>
    <w:rsid w:val="00E56ADD"/>
    <w:rsid w:val="00E86549"/>
    <w:rsid w:val="00EE441E"/>
    <w:rsid w:val="00F012A3"/>
    <w:rsid w:val="00F82FE6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BA512-4762-48B2-9934-81B79918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1633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Vitor Vinicius Gomes da Silva</cp:lastModifiedBy>
  <cp:revision>17</cp:revision>
  <dcterms:created xsi:type="dcterms:W3CDTF">2015-09-01T20:38:00Z</dcterms:created>
  <dcterms:modified xsi:type="dcterms:W3CDTF">2017-09-01T02:08:00Z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