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F4A84" w14:textId="3A13E9FD" w:rsidR="00092F62" w:rsidRPr="00755FAD" w:rsidRDefault="00E24EB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Draft: </w:t>
      </w:r>
      <w:r w:rsidR="00AA531C">
        <w:rPr>
          <w:b/>
          <w:bCs/>
          <w:sz w:val="32"/>
          <w:szCs w:val="32"/>
          <w:lang w:val="en-US"/>
        </w:rPr>
        <w:t>Questions to consider when</w:t>
      </w:r>
      <w:r w:rsidR="009F12BB">
        <w:rPr>
          <w:b/>
          <w:bCs/>
          <w:sz w:val="32"/>
          <w:szCs w:val="32"/>
          <w:lang w:val="en-US"/>
        </w:rPr>
        <w:t xml:space="preserve"> d</w:t>
      </w:r>
      <w:r w:rsidR="00F20ADB" w:rsidRPr="00755FAD">
        <w:rPr>
          <w:b/>
          <w:bCs/>
          <w:sz w:val="32"/>
          <w:szCs w:val="32"/>
          <w:lang w:val="en-US"/>
        </w:rPr>
        <w:t xml:space="preserve">efining </w:t>
      </w:r>
      <w:r w:rsidR="00AA531C" w:rsidRPr="00755FAD">
        <w:rPr>
          <w:b/>
          <w:bCs/>
          <w:sz w:val="32"/>
          <w:szCs w:val="32"/>
          <w:lang w:val="en-US"/>
        </w:rPr>
        <w:t>study population</w:t>
      </w:r>
      <w:r w:rsidR="00F20ADB" w:rsidRPr="00755FAD">
        <w:rPr>
          <w:b/>
          <w:bCs/>
          <w:sz w:val="32"/>
          <w:szCs w:val="32"/>
          <w:lang w:val="en-US"/>
        </w:rPr>
        <w:t xml:space="preserve"> </w:t>
      </w:r>
      <w:r w:rsidR="009F12BB">
        <w:rPr>
          <w:b/>
          <w:bCs/>
          <w:sz w:val="32"/>
          <w:szCs w:val="32"/>
          <w:lang w:val="en-US"/>
        </w:rPr>
        <w:t>for studies based on the</w:t>
      </w:r>
      <w:r w:rsidR="00F20ADB" w:rsidRPr="00755FAD">
        <w:rPr>
          <w:b/>
          <w:bCs/>
          <w:sz w:val="32"/>
          <w:szCs w:val="32"/>
          <w:lang w:val="en-US"/>
        </w:rPr>
        <w:t xml:space="preserve"> BHLL question</w:t>
      </w:r>
      <w:r w:rsidR="00755FAD" w:rsidRPr="00755FAD">
        <w:rPr>
          <w:b/>
          <w:bCs/>
          <w:sz w:val="32"/>
          <w:szCs w:val="32"/>
          <w:lang w:val="en-US"/>
        </w:rPr>
        <w:t>n</w:t>
      </w:r>
      <w:r w:rsidR="00F20ADB" w:rsidRPr="00755FAD">
        <w:rPr>
          <w:b/>
          <w:bCs/>
          <w:sz w:val="32"/>
          <w:szCs w:val="32"/>
          <w:lang w:val="en-US"/>
        </w:rPr>
        <w:t>aire</w:t>
      </w:r>
    </w:p>
    <w:p w14:paraId="79051965" w14:textId="26CB5024" w:rsidR="00755FAD" w:rsidRPr="004335FB" w:rsidRDefault="00BB043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When defining the study</w:t>
      </w:r>
      <w:r w:rsidR="00D1368C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population for your </w:t>
      </w:r>
      <w:r w:rsidR="00D1368C">
        <w:rPr>
          <w:i/>
          <w:iCs/>
          <w:sz w:val="28"/>
          <w:szCs w:val="28"/>
          <w:lang w:val="en-US"/>
        </w:rPr>
        <w:t>BHLL study</w:t>
      </w:r>
      <w:r>
        <w:rPr>
          <w:i/>
          <w:iCs/>
          <w:sz w:val="28"/>
          <w:szCs w:val="28"/>
          <w:lang w:val="en-US"/>
        </w:rPr>
        <w:t xml:space="preserve">, we suggest that you consider </w:t>
      </w:r>
      <w:r w:rsidR="00DE30BA">
        <w:rPr>
          <w:i/>
          <w:iCs/>
          <w:sz w:val="28"/>
          <w:szCs w:val="28"/>
          <w:lang w:val="en-US"/>
        </w:rPr>
        <w:t xml:space="preserve">excluding for </w:t>
      </w:r>
      <w:r>
        <w:rPr>
          <w:i/>
          <w:iCs/>
          <w:sz w:val="28"/>
          <w:szCs w:val="28"/>
          <w:lang w:val="en-US"/>
        </w:rPr>
        <w:t>(at least) these f</w:t>
      </w:r>
      <w:r w:rsidR="00AD63F1" w:rsidRPr="004335FB">
        <w:rPr>
          <w:i/>
          <w:iCs/>
          <w:sz w:val="28"/>
          <w:szCs w:val="28"/>
          <w:lang w:val="en-US"/>
        </w:rPr>
        <w:t>our reasons</w:t>
      </w:r>
      <w:r w:rsidR="009F12BB" w:rsidRPr="004335FB">
        <w:rPr>
          <w:i/>
          <w:iCs/>
          <w:sz w:val="28"/>
          <w:szCs w:val="28"/>
          <w:lang w:val="en-US"/>
        </w:rPr>
        <w:t>:</w:t>
      </w:r>
    </w:p>
    <w:p w14:paraId="11E3B7F5" w14:textId="7B374C6F" w:rsidR="009F12BB" w:rsidRPr="009F12BB" w:rsidRDefault="009F12BB" w:rsidP="009F12BB">
      <w:pPr>
        <w:pStyle w:val="ListParagraph"/>
        <w:numPr>
          <w:ilvl w:val="0"/>
          <w:numId w:val="6"/>
        </w:numPr>
        <w:rPr>
          <w:lang w:val="en-US"/>
        </w:rPr>
      </w:pPr>
      <w:r w:rsidRPr="009F12BB">
        <w:rPr>
          <w:lang w:val="en-US"/>
        </w:rPr>
        <w:t>Comple</w:t>
      </w:r>
      <w:r>
        <w:rPr>
          <w:lang w:val="en-US"/>
        </w:rPr>
        <w:t>te</w:t>
      </w:r>
      <w:r w:rsidRPr="009F12BB">
        <w:rPr>
          <w:lang w:val="en-US"/>
        </w:rPr>
        <w:t>nes</w:t>
      </w:r>
      <w:r w:rsidR="00AD63F1">
        <w:rPr>
          <w:lang w:val="en-US"/>
        </w:rPr>
        <w:t>s</w:t>
      </w:r>
      <w:r w:rsidRPr="009F12BB">
        <w:rPr>
          <w:lang w:val="en-US"/>
        </w:rPr>
        <w:t xml:space="preserve"> of </w:t>
      </w:r>
      <w:r w:rsidR="002072EE">
        <w:rPr>
          <w:lang w:val="en-US"/>
        </w:rPr>
        <w:t xml:space="preserve">the answered </w:t>
      </w:r>
      <w:r w:rsidRPr="009F12BB">
        <w:rPr>
          <w:lang w:val="en-US"/>
        </w:rPr>
        <w:t>questionnaire</w:t>
      </w:r>
      <w:r w:rsidR="002072EE">
        <w:rPr>
          <w:lang w:val="en-US"/>
        </w:rPr>
        <w:t>s</w:t>
      </w:r>
    </w:p>
    <w:p w14:paraId="5E3333AC" w14:textId="0E572290" w:rsidR="009F12BB" w:rsidRDefault="00AD63F1" w:rsidP="009F12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Residency</w:t>
      </w:r>
      <w:r w:rsidR="009F12BB">
        <w:rPr>
          <w:lang w:val="en-US"/>
        </w:rPr>
        <w:t xml:space="preserve"> in Denmark / availability of SEP-data</w:t>
      </w:r>
    </w:p>
    <w:p w14:paraId="0E43A5D1" w14:textId="38324E79" w:rsidR="009F12BB" w:rsidRDefault="00AD63F1" w:rsidP="009F12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Questionable answers</w:t>
      </w:r>
    </w:p>
    <w:p w14:paraId="05677DE7" w14:textId="43CC3F5C" w:rsidR="00AD63F1" w:rsidRPr="009F12BB" w:rsidRDefault="00AD63F1" w:rsidP="009F12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Study-specific exclusions</w:t>
      </w:r>
    </w:p>
    <w:p w14:paraId="60591CE7" w14:textId="77777777" w:rsidR="009F12BB" w:rsidRDefault="009F12BB" w:rsidP="009F12BB">
      <w:pPr>
        <w:pStyle w:val="ListParagraph"/>
        <w:rPr>
          <w:lang w:val="en-US"/>
        </w:rPr>
      </w:pPr>
    </w:p>
    <w:p w14:paraId="7029CE5B" w14:textId="77777777" w:rsidR="002072EE" w:rsidRDefault="002072EE" w:rsidP="009F12BB">
      <w:pPr>
        <w:pStyle w:val="ListParagraph"/>
        <w:rPr>
          <w:lang w:val="en-US"/>
        </w:rPr>
      </w:pPr>
    </w:p>
    <w:p w14:paraId="6DD7C4BB" w14:textId="471C3098" w:rsidR="002072EE" w:rsidRPr="002072EE" w:rsidRDefault="00F20ADB" w:rsidP="002072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72EE">
        <w:rPr>
          <w:b/>
          <w:bCs/>
          <w:lang w:val="en-US"/>
        </w:rPr>
        <w:t xml:space="preserve"> </w:t>
      </w:r>
      <w:r w:rsidR="002072EE" w:rsidRPr="002072EE">
        <w:rPr>
          <w:b/>
          <w:bCs/>
          <w:lang w:val="en-US"/>
        </w:rPr>
        <w:t>Completeness of the answered questionnaires</w:t>
      </w:r>
    </w:p>
    <w:p w14:paraId="77ED39E3" w14:textId="77C4C2D8" w:rsidR="00755FAD" w:rsidRPr="002072EE" w:rsidRDefault="00F20ADB" w:rsidP="002072EE">
      <w:pPr>
        <w:pStyle w:val="ListParagraph"/>
        <w:ind w:left="360"/>
        <w:rPr>
          <w:lang w:val="en-US"/>
        </w:rPr>
      </w:pPr>
      <w:r w:rsidRPr="002072EE">
        <w:rPr>
          <w:lang w:val="en-US"/>
        </w:rPr>
        <w:t>114</w:t>
      </w:r>
      <w:r w:rsidR="00FC619E">
        <w:rPr>
          <w:lang w:val="en-US"/>
        </w:rPr>
        <w:t>,</w:t>
      </w:r>
      <w:r w:rsidRPr="002072EE">
        <w:rPr>
          <w:lang w:val="en-US"/>
        </w:rPr>
        <w:t xml:space="preserve">555 </w:t>
      </w:r>
      <w:r w:rsidR="00AD63F1" w:rsidRPr="002072EE">
        <w:rPr>
          <w:lang w:val="en-US"/>
        </w:rPr>
        <w:t>people</w:t>
      </w:r>
      <w:r w:rsidRPr="002072EE">
        <w:rPr>
          <w:lang w:val="en-US"/>
        </w:rPr>
        <w:t xml:space="preserve"> </w:t>
      </w:r>
      <w:r w:rsidR="002072EE" w:rsidRPr="002072EE">
        <w:rPr>
          <w:lang w:val="en-US"/>
        </w:rPr>
        <w:t xml:space="preserve">with </w:t>
      </w:r>
      <w:r w:rsidRPr="002072EE">
        <w:rPr>
          <w:lang w:val="en-US"/>
        </w:rPr>
        <w:t>partly or fully answered the questionnaire</w:t>
      </w:r>
      <w:r w:rsidR="00755FAD" w:rsidRPr="002072EE">
        <w:rPr>
          <w:lang w:val="en-US"/>
        </w:rPr>
        <w:t>.</w:t>
      </w:r>
      <w:r w:rsidR="00C60E6E">
        <w:rPr>
          <w:lang w:val="en-US"/>
        </w:rPr>
        <w:t xml:space="preserve"> (Besides </w:t>
      </w:r>
      <w:r w:rsidR="002D6821">
        <w:rPr>
          <w:lang w:val="en-US"/>
        </w:rPr>
        <w:t>that,</w:t>
      </w:r>
      <w:r w:rsidR="00C60E6E">
        <w:rPr>
          <w:lang w:val="en-US"/>
        </w:rPr>
        <w:t xml:space="preserve"> 876 started the questionnaire, but didn’t answer any question</w:t>
      </w:r>
      <w:r w:rsidR="00DE30BA">
        <w:rPr>
          <w:lang w:val="en-US"/>
        </w:rPr>
        <w:t>. These are excluded per default</w:t>
      </w:r>
      <w:r w:rsidR="00C60E6E">
        <w:rPr>
          <w:lang w:val="en-US"/>
        </w:rPr>
        <w:t>).</w:t>
      </w:r>
    </w:p>
    <w:p w14:paraId="59F2FD59" w14:textId="0886EC6B" w:rsidR="002072EE" w:rsidRDefault="00607744" w:rsidP="00755FAD">
      <w:pPr>
        <w:pStyle w:val="ListParagraph"/>
        <w:numPr>
          <w:ilvl w:val="1"/>
          <w:numId w:val="1"/>
        </w:numPr>
        <w:rPr>
          <w:lang w:val="en-US"/>
        </w:rPr>
      </w:pPr>
      <w:r w:rsidRPr="00755FAD">
        <w:rPr>
          <w:lang w:val="en-US"/>
        </w:rPr>
        <w:t>96,423 completed the questionnaire, and 1</w:t>
      </w:r>
      <w:r w:rsidR="00D87598">
        <w:rPr>
          <w:lang w:val="en-US"/>
        </w:rPr>
        <w:t>8</w:t>
      </w:r>
      <w:r w:rsidRPr="00755FAD">
        <w:rPr>
          <w:lang w:val="en-US"/>
        </w:rPr>
        <w:t>,132 (16%)</w:t>
      </w:r>
      <w:r w:rsidR="00A77BCD">
        <w:rPr>
          <w:lang w:val="en-US"/>
        </w:rPr>
        <w:t xml:space="preserve"> </w:t>
      </w:r>
      <w:r w:rsidRPr="00755FAD">
        <w:rPr>
          <w:lang w:val="en-US"/>
        </w:rPr>
        <w:t>only partly completed the questionnaire.</w:t>
      </w:r>
      <w:r w:rsidR="00755FAD" w:rsidRPr="00755FAD">
        <w:rPr>
          <w:lang w:val="en-US"/>
        </w:rPr>
        <w:t xml:space="preserve"> (</w:t>
      </w:r>
      <w:r w:rsidR="00DE30BA">
        <w:rPr>
          <w:lang w:val="en-US"/>
        </w:rPr>
        <w:t xml:space="preserve">NB! </w:t>
      </w:r>
      <w:r w:rsidR="00755FAD">
        <w:rPr>
          <w:lang w:val="en-US"/>
        </w:rPr>
        <w:t>E</w:t>
      </w:r>
      <w:r w:rsidR="00755FAD" w:rsidRPr="00755FAD">
        <w:rPr>
          <w:lang w:val="en-US"/>
        </w:rPr>
        <w:t xml:space="preserve">ven in </w:t>
      </w:r>
      <w:r w:rsidR="00DE30BA">
        <w:rPr>
          <w:lang w:val="en-US"/>
        </w:rPr>
        <w:t>“</w:t>
      </w:r>
      <w:r w:rsidR="00755FAD" w:rsidRPr="00755FAD">
        <w:rPr>
          <w:lang w:val="en-US"/>
        </w:rPr>
        <w:t>fully</w:t>
      </w:r>
      <w:r w:rsidR="00DE30BA">
        <w:rPr>
          <w:lang w:val="en-US"/>
        </w:rPr>
        <w:t>”</w:t>
      </w:r>
      <w:r w:rsidR="00755FAD" w:rsidRPr="00755FAD">
        <w:rPr>
          <w:lang w:val="en-US"/>
        </w:rPr>
        <w:t xml:space="preserve"> answered questionnaires there can still </w:t>
      </w:r>
      <w:r w:rsidR="009F12BB" w:rsidRPr="00755FAD">
        <w:rPr>
          <w:lang w:val="en-US"/>
        </w:rPr>
        <w:t>be</w:t>
      </w:r>
      <w:r w:rsidR="00755FAD" w:rsidRPr="00755FAD">
        <w:rPr>
          <w:lang w:val="en-US"/>
        </w:rPr>
        <w:t xml:space="preserve"> missing values in some of the fields</w:t>
      </w:r>
      <w:r w:rsidR="00A7214A">
        <w:rPr>
          <w:lang w:val="en-US"/>
        </w:rPr>
        <w:t xml:space="preserve"> (like waist </w:t>
      </w:r>
      <w:r w:rsidR="00AD63F1">
        <w:rPr>
          <w:lang w:val="en-US"/>
        </w:rPr>
        <w:t>circumference))</w:t>
      </w:r>
      <w:r w:rsidR="00755FAD">
        <w:rPr>
          <w:lang w:val="en-US"/>
        </w:rPr>
        <w:t>.</w:t>
      </w:r>
      <w:r w:rsidR="00AD63F1">
        <w:rPr>
          <w:lang w:val="en-US"/>
        </w:rPr>
        <w:t xml:space="preserve"> </w:t>
      </w:r>
    </w:p>
    <w:p w14:paraId="35947655" w14:textId="4855533B" w:rsidR="005E3782" w:rsidRDefault="00AD63F1" w:rsidP="005E37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are mainly interested in </w:t>
      </w:r>
      <w:r w:rsidR="002072EE">
        <w:rPr>
          <w:lang w:val="en-US"/>
        </w:rPr>
        <w:t xml:space="preserve">some of the earlier questions, it is possible to identify all who </w:t>
      </w:r>
      <w:r w:rsidR="002E4CB7">
        <w:rPr>
          <w:lang w:val="en-US"/>
        </w:rPr>
        <w:t>answered</w:t>
      </w:r>
      <w:r w:rsidR="002072EE">
        <w:rPr>
          <w:lang w:val="en-US"/>
        </w:rPr>
        <w:t xml:space="preserve"> until a given question in the questionnaire.</w:t>
      </w:r>
      <w:r w:rsidR="005E3782" w:rsidRPr="005E3782">
        <w:rPr>
          <w:lang w:val="en-US"/>
        </w:rPr>
        <w:t xml:space="preserve"> </w:t>
      </w:r>
      <w:r w:rsidR="005E3782">
        <w:rPr>
          <w:lang w:val="en-US"/>
        </w:rPr>
        <w:t>Among these 18,132 respondents who only partly finalized their questionnaire:</w:t>
      </w:r>
    </w:p>
    <w:p w14:paraId="1B8C64D6" w14:textId="77777777" w:rsidR="005E3782" w:rsidRPr="0088171C" w:rsidRDefault="005E3782" w:rsidP="005E37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6,667 Have stopped at question number 12, or earlier</w:t>
      </w:r>
    </w:p>
    <w:p w14:paraId="740523EE" w14:textId="77777777" w:rsidR="005E3782" w:rsidRDefault="005E3782" w:rsidP="005E37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8,776 Have stopped at question number 15, or earlier</w:t>
      </w:r>
    </w:p>
    <w:p w14:paraId="04405887" w14:textId="77777777" w:rsidR="005E3782" w:rsidRDefault="005E3782" w:rsidP="005E37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9,694 Have stopped at question number 65, or earlier</w:t>
      </w:r>
    </w:p>
    <w:p w14:paraId="3390D849" w14:textId="77777777" w:rsidR="005E3782" w:rsidRPr="0088171C" w:rsidRDefault="005E3782" w:rsidP="005E378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14,215 Have stopped at question number 75, or earlier</w:t>
      </w:r>
    </w:p>
    <w:p w14:paraId="09079CC9" w14:textId="56C6268F" w:rsidR="00755FAD" w:rsidRPr="00755FAD" w:rsidRDefault="00755FAD" w:rsidP="0024040C">
      <w:pPr>
        <w:pStyle w:val="ListParagraph"/>
        <w:ind w:left="1080"/>
        <w:rPr>
          <w:lang w:val="en-US"/>
        </w:rPr>
      </w:pPr>
    </w:p>
    <w:p w14:paraId="1FC4D077" w14:textId="77777777" w:rsidR="004335FB" w:rsidRPr="004335FB" w:rsidRDefault="004335FB" w:rsidP="004335FB">
      <w:pPr>
        <w:pStyle w:val="ListParagraph"/>
        <w:ind w:left="360"/>
        <w:rPr>
          <w:lang w:val="en-US"/>
        </w:rPr>
      </w:pPr>
    </w:p>
    <w:p w14:paraId="75D5F216" w14:textId="7F2DEC07" w:rsidR="00F20ADB" w:rsidRPr="004335FB" w:rsidRDefault="002072EE" w:rsidP="002072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335FB">
        <w:rPr>
          <w:b/>
          <w:bCs/>
          <w:lang w:val="en-US"/>
        </w:rPr>
        <w:t xml:space="preserve">We suggest exclusion of </w:t>
      </w:r>
      <w:r w:rsidR="00F20ADB" w:rsidRPr="004335FB">
        <w:rPr>
          <w:b/>
          <w:bCs/>
          <w:lang w:val="en-US"/>
        </w:rPr>
        <w:t>159 (0.1%) who had not been resident in Denmark</w:t>
      </w:r>
      <w:r w:rsidRPr="004335FB">
        <w:rPr>
          <w:b/>
          <w:bCs/>
          <w:lang w:val="en-US"/>
        </w:rPr>
        <w:t xml:space="preserve"> at 31dec2020.</w:t>
      </w:r>
    </w:p>
    <w:p w14:paraId="013BBC2A" w14:textId="24FF8A27" w:rsidR="00C6180B" w:rsidRDefault="00F20ADB" w:rsidP="00F20ADB">
      <w:pPr>
        <w:ind w:left="360"/>
        <w:rPr>
          <w:lang w:val="en-US"/>
        </w:rPr>
      </w:pPr>
      <w:r>
        <w:rPr>
          <w:lang w:val="en-US"/>
        </w:rPr>
        <w:t xml:space="preserve">Background: </w:t>
      </w:r>
      <w:r w:rsidR="001E6AA9">
        <w:rPr>
          <w:lang w:val="en-US"/>
        </w:rPr>
        <w:t>The question</w:t>
      </w:r>
      <w:r w:rsidR="009170BF">
        <w:rPr>
          <w:lang w:val="en-US"/>
        </w:rPr>
        <w:t>n</w:t>
      </w:r>
      <w:r w:rsidR="001E6AA9">
        <w:rPr>
          <w:lang w:val="en-US"/>
        </w:rPr>
        <w:t xml:space="preserve">aire was submitted </w:t>
      </w:r>
      <w:r w:rsidR="009170BF">
        <w:rPr>
          <w:lang w:val="en-US"/>
        </w:rPr>
        <w:t>based on residency in Denmark June 30</w:t>
      </w:r>
      <w:r w:rsidR="009170BF" w:rsidRPr="009170BF">
        <w:rPr>
          <w:vertAlign w:val="superscript"/>
          <w:lang w:val="en-US"/>
        </w:rPr>
        <w:t>th</w:t>
      </w:r>
      <w:r w:rsidR="002E4CB7">
        <w:rPr>
          <w:lang w:val="en-US"/>
        </w:rPr>
        <w:t>, 2021</w:t>
      </w:r>
      <w:r w:rsidR="009170BF">
        <w:rPr>
          <w:lang w:val="en-US"/>
        </w:rPr>
        <w:t>. At DST (project 708491</w:t>
      </w:r>
      <w:r w:rsidR="00DE034F">
        <w:rPr>
          <w:lang w:val="en-US"/>
        </w:rPr>
        <w:t xml:space="preserve"> and 709876</w:t>
      </w:r>
      <w:r w:rsidR="009170BF">
        <w:rPr>
          <w:lang w:val="en-US"/>
        </w:rPr>
        <w:t xml:space="preserve">) </w:t>
      </w:r>
      <w:r w:rsidR="00634A1D">
        <w:rPr>
          <w:lang w:val="en-US"/>
        </w:rPr>
        <w:t>the</w:t>
      </w:r>
      <w:r w:rsidR="009170BF">
        <w:rPr>
          <w:lang w:val="en-US"/>
        </w:rPr>
        <w:t xml:space="preserve"> general socio</w:t>
      </w:r>
      <w:r w:rsidR="00634A1D">
        <w:rPr>
          <w:lang w:val="en-US"/>
        </w:rPr>
        <w:t>demographic</w:t>
      </w:r>
      <w:r w:rsidR="009170BF">
        <w:rPr>
          <w:lang w:val="en-US"/>
        </w:rPr>
        <w:t xml:space="preserve"> data (</w:t>
      </w:r>
      <w:r w:rsidR="00AB0A52">
        <w:rPr>
          <w:lang w:val="en-US"/>
        </w:rPr>
        <w:t>e.g., cohabitation</w:t>
      </w:r>
      <w:r w:rsidR="0089391A">
        <w:rPr>
          <w:lang w:val="en-US"/>
        </w:rPr>
        <w:t>, residency, region</w:t>
      </w:r>
      <w:r w:rsidR="00DE034F">
        <w:rPr>
          <w:lang w:val="en-US"/>
        </w:rPr>
        <w:t xml:space="preserve"> from</w:t>
      </w:r>
      <w:r w:rsidR="009170BF">
        <w:rPr>
          <w:lang w:val="en-US"/>
        </w:rPr>
        <w:t xml:space="preserve"> the </w:t>
      </w:r>
      <w:proofErr w:type="spellStart"/>
      <w:r w:rsidR="009170BF">
        <w:rPr>
          <w:lang w:val="en-US"/>
        </w:rPr>
        <w:t>bef</w:t>
      </w:r>
      <w:proofErr w:type="spellEnd"/>
      <w:r w:rsidR="009170BF">
        <w:rPr>
          <w:lang w:val="en-US"/>
        </w:rPr>
        <w:t xml:space="preserve">-files) </w:t>
      </w:r>
      <w:r w:rsidR="00634A1D">
        <w:rPr>
          <w:lang w:val="en-US"/>
        </w:rPr>
        <w:t xml:space="preserve">and socioeconomic measures (e.g. education, occupation and income) </w:t>
      </w:r>
      <w:r w:rsidR="009170BF">
        <w:rPr>
          <w:lang w:val="en-US"/>
        </w:rPr>
        <w:t xml:space="preserve">are only available </w:t>
      </w:r>
      <w:r w:rsidR="002E4CB7">
        <w:rPr>
          <w:lang w:val="en-US"/>
        </w:rPr>
        <w:t>on</w:t>
      </w:r>
      <w:r w:rsidR="009170BF">
        <w:rPr>
          <w:lang w:val="en-US"/>
        </w:rPr>
        <w:t xml:space="preserve"> December 31</w:t>
      </w:r>
      <w:r w:rsidR="009170BF" w:rsidRPr="009170BF">
        <w:rPr>
          <w:vertAlign w:val="superscript"/>
          <w:lang w:val="en-US"/>
        </w:rPr>
        <w:t>st</w:t>
      </w:r>
      <w:r w:rsidR="009170BF">
        <w:rPr>
          <w:lang w:val="en-US"/>
        </w:rPr>
        <w:t xml:space="preserve"> each year. A very few people can have immigrated within first half of 2021, answered the questionnaire, and the</w:t>
      </w:r>
      <w:r w:rsidR="002072EE">
        <w:rPr>
          <w:lang w:val="en-US"/>
        </w:rPr>
        <w:t>n</w:t>
      </w:r>
      <w:r w:rsidR="009170BF">
        <w:rPr>
          <w:lang w:val="en-US"/>
        </w:rPr>
        <w:t xml:space="preserve"> emigrated or died before December 31</w:t>
      </w:r>
      <w:r w:rsidR="009170BF" w:rsidRPr="009170BF">
        <w:rPr>
          <w:vertAlign w:val="superscript"/>
          <w:lang w:val="en-US"/>
        </w:rPr>
        <w:t>st</w:t>
      </w:r>
      <w:r w:rsidR="002E4CB7">
        <w:rPr>
          <w:lang w:val="en-US"/>
        </w:rPr>
        <w:t>, 2021</w:t>
      </w:r>
      <w:r w:rsidR="00C6180B">
        <w:rPr>
          <w:lang w:val="en-US"/>
        </w:rPr>
        <w:t xml:space="preserve">, leaving us without possibility to get socioeconomic data on them. </w:t>
      </w:r>
      <w:r w:rsidR="006A7A1E">
        <w:rPr>
          <w:lang w:val="en-US"/>
        </w:rPr>
        <w:t xml:space="preserve"> [And </w:t>
      </w:r>
      <w:r w:rsidR="007B792E">
        <w:rPr>
          <w:lang w:val="en-US"/>
        </w:rPr>
        <w:t xml:space="preserve">possible </w:t>
      </w:r>
      <w:r w:rsidR="006A7A1E">
        <w:rPr>
          <w:lang w:val="en-US"/>
        </w:rPr>
        <w:t>not full follow up for death?]</w:t>
      </w:r>
    </w:p>
    <w:p w14:paraId="55717D39" w14:textId="60BB318E" w:rsidR="00DE034F" w:rsidRDefault="00DE034F" w:rsidP="00F20ADB">
      <w:pPr>
        <w:ind w:left="360"/>
        <w:rPr>
          <w:lang w:val="en-US"/>
        </w:rPr>
      </w:pPr>
      <w:r>
        <w:rPr>
          <w:lang w:val="en-US"/>
        </w:rPr>
        <w:t>We suggest the exclusion of the 159 respondents that was not resident in Denmark at 31dec2020.</w:t>
      </w:r>
    </w:p>
    <w:p w14:paraId="2F85152B" w14:textId="54AEC249" w:rsidR="000F03EC" w:rsidRDefault="000F03EC" w:rsidP="00F20ADB">
      <w:pPr>
        <w:ind w:left="360"/>
        <w:rPr>
          <w:lang w:val="en-US"/>
        </w:rPr>
      </w:pPr>
      <w:r>
        <w:rPr>
          <w:lang w:val="en-US"/>
        </w:rPr>
        <w:t xml:space="preserve">(103 of the 159 can be found in the </w:t>
      </w:r>
      <w:proofErr w:type="spellStart"/>
      <w:r>
        <w:rPr>
          <w:lang w:val="en-US"/>
        </w:rPr>
        <w:t>bef</w:t>
      </w:r>
      <w:proofErr w:type="spellEnd"/>
      <w:r>
        <w:rPr>
          <w:lang w:val="en-US"/>
        </w:rPr>
        <w:t xml:space="preserve">-file </w:t>
      </w:r>
      <w:r w:rsidR="002D6821">
        <w:rPr>
          <w:lang w:val="en-US"/>
        </w:rPr>
        <w:t>from</w:t>
      </w:r>
      <w:r>
        <w:rPr>
          <w:lang w:val="en-US"/>
        </w:rPr>
        <w:t xml:space="preserve"> 31dec2021, but including those, and not the remaining 56 person, could </w:t>
      </w:r>
      <w:r w:rsidR="00634A1D">
        <w:rPr>
          <w:lang w:val="en-US"/>
        </w:rPr>
        <w:t xml:space="preserve">possibly </w:t>
      </w:r>
      <w:r>
        <w:rPr>
          <w:lang w:val="en-US"/>
        </w:rPr>
        <w:t>lead to a bias)</w:t>
      </w:r>
    </w:p>
    <w:p w14:paraId="546AE4EA" w14:textId="195C0FB6" w:rsidR="00361E7A" w:rsidRDefault="0024040C" w:rsidP="00F20ADB">
      <w:pPr>
        <w:ind w:left="360"/>
        <w:rPr>
          <w:lang w:val="en-US"/>
        </w:rPr>
      </w:pPr>
      <w:r>
        <w:rPr>
          <w:lang w:val="en-US"/>
        </w:rPr>
        <w:t>As a positive side effect, l</w:t>
      </w:r>
      <w:r w:rsidR="00DE034F">
        <w:rPr>
          <w:lang w:val="en-US"/>
        </w:rPr>
        <w:t xml:space="preserve">imiting </w:t>
      </w:r>
      <w:r w:rsidR="00C6180B">
        <w:rPr>
          <w:lang w:val="en-US"/>
        </w:rPr>
        <w:t xml:space="preserve">the </w:t>
      </w:r>
      <w:r w:rsidR="00DE034F">
        <w:rPr>
          <w:lang w:val="en-US"/>
        </w:rPr>
        <w:t xml:space="preserve">cohort </w:t>
      </w:r>
      <w:r w:rsidR="00C6180B">
        <w:rPr>
          <w:lang w:val="en-US"/>
        </w:rPr>
        <w:t>to only those living in Denmark December 31</w:t>
      </w:r>
      <w:r w:rsidR="00C6180B" w:rsidRPr="00C6180B">
        <w:rPr>
          <w:vertAlign w:val="superscript"/>
          <w:lang w:val="en-US"/>
        </w:rPr>
        <w:t>st</w:t>
      </w:r>
      <w:r w:rsidR="002E4CB7">
        <w:rPr>
          <w:lang w:val="en-US"/>
        </w:rPr>
        <w:t xml:space="preserve">, </w:t>
      </w:r>
      <w:r>
        <w:rPr>
          <w:lang w:val="en-US"/>
        </w:rPr>
        <w:t>2020,</w:t>
      </w:r>
      <w:r w:rsidR="00DE034F">
        <w:rPr>
          <w:lang w:val="en-US"/>
        </w:rPr>
        <w:t xml:space="preserve"> will have a</w:t>
      </w:r>
      <w:r w:rsidR="00C6180B">
        <w:rPr>
          <w:lang w:val="en-US"/>
        </w:rPr>
        <w:t xml:space="preserve">n additional benefit that it </w:t>
      </w:r>
      <w:r w:rsidR="006A7A1E">
        <w:rPr>
          <w:lang w:val="en-US"/>
        </w:rPr>
        <w:t>secures a</w:t>
      </w:r>
      <w:r w:rsidR="005A599C">
        <w:rPr>
          <w:lang w:val="en-US"/>
        </w:rPr>
        <w:t xml:space="preserve"> minimum of </w:t>
      </w:r>
      <w:r w:rsidR="006A7A1E">
        <w:rPr>
          <w:lang w:val="en-US"/>
        </w:rPr>
        <w:t>8 months of lookback within LPR, LMDB, LABF etc.</w:t>
      </w:r>
      <w:r w:rsidR="00DE034F">
        <w:rPr>
          <w:lang w:val="en-US"/>
        </w:rPr>
        <w:t xml:space="preserve"> (the 8 months from January to September 2021</w:t>
      </w:r>
      <w:r>
        <w:rPr>
          <w:lang w:val="en-US"/>
        </w:rPr>
        <w:t xml:space="preserve"> – or typically a bit longer when the response-date was later</w:t>
      </w:r>
      <w:r w:rsidR="00DE034F">
        <w:rPr>
          <w:lang w:val="en-US"/>
        </w:rPr>
        <w:t>)</w:t>
      </w:r>
      <w:r>
        <w:rPr>
          <w:lang w:val="en-US"/>
        </w:rPr>
        <w:t>.</w:t>
      </w:r>
    </w:p>
    <w:p w14:paraId="7F364C11" w14:textId="12D413EF" w:rsidR="004335FB" w:rsidRPr="00286DC2" w:rsidRDefault="004335FB" w:rsidP="00817A33">
      <w:pPr>
        <w:pStyle w:val="ListParagraph"/>
        <w:numPr>
          <w:ilvl w:val="0"/>
          <w:numId w:val="9"/>
        </w:numPr>
        <w:rPr>
          <w:lang w:val="en-US"/>
        </w:rPr>
      </w:pPr>
      <w:r w:rsidRPr="00817A33">
        <w:rPr>
          <w:lang w:val="en-US"/>
        </w:rPr>
        <w:lastRenderedPageBreak/>
        <w:t xml:space="preserve">In </w:t>
      </w:r>
      <w:r w:rsidR="002E4CB7" w:rsidRPr="00817A33">
        <w:rPr>
          <w:lang w:val="en-US"/>
        </w:rPr>
        <w:t>addition,</w:t>
      </w:r>
      <w:r w:rsidRPr="00817A33">
        <w:rPr>
          <w:lang w:val="en-US"/>
        </w:rPr>
        <w:t xml:space="preserve"> the population can be limited further </w:t>
      </w:r>
      <w:r w:rsidR="002E4CB7">
        <w:rPr>
          <w:lang w:val="en-US"/>
        </w:rPr>
        <w:t xml:space="preserve">to </w:t>
      </w:r>
      <w:r w:rsidR="00E37836">
        <w:rPr>
          <w:lang w:val="en-US"/>
        </w:rPr>
        <w:t>people</w:t>
      </w:r>
      <w:r w:rsidR="002E4CB7">
        <w:rPr>
          <w:lang w:val="en-US"/>
        </w:rPr>
        <w:t xml:space="preserve"> </w:t>
      </w:r>
      <w:r w:rsidR="00962E63">
        <w:rPr>
          <w:lang w:val="en-US"/>
        </w:rPr>
        <w:t>who did not immigrate</w:t>
      </w:r>
      <w:r w:rsidR="002E4CB7">
        <w:rPr>
          <w:lang w:val="en-US"/>
        </w:rPr>
        <w:t xml:space="preserve"> within </w:t>
      </w:r>
      <w:r w:rsidR="0024040C">
        <w:rPr>
          <w:lang w:val="en-US"/>
        </w:rPr>
        <w:t>one</w:t>
      </w:r>
      <w:r w:rsidR="002E4CB7">
        <w:rPr>
          <w:lang w:val="en-US"/>
        </w:rPr>
        <w:t xml:space="preserve"> year prior to answering the questionnaire (to ensure a</w:t>
      </w:r>
      <w:r w:rsidR="00AA531C">
        <w:rPr>
          <w:lang w:val="en-US"/>
        </w:rPr>
        <w:t>t least</w:t>
      </w:r>
      <w:r w:rsidR="002E4CB7">
        <w:rPr>
          <w:lang w:val="en-US"/>
        </w:rPr>
        <w:t xml:space="preserve"> one year </w:t>
      </w:r>
      <w:r w:rsidR="00AA531C">
        <w:rPr>
          <w:lang w:val="en-US"/>
        </w:rPr>
        <w:t xml:space="preserve">of </w:t>
      </w:r>
      <w:r w:rsidR="00962E63">
        <w:rPr>
          <w:lang w:val="en-US"/>
        </w:rPr>
        <w:t>follow-up</w:t>
      </w:r>
      <w:r w:rsidR="002E4CB7">
        <w:rPr>
          <w:lang w:val="en-US"/>
        </w:rPr>
        <w:t>). (Another ~</w:t>
      </w:r>
      <w:r w:rsidR="00E37836">
        <w:rPr>
          <w:lang w:val="en-US"/>
        </w:rPr>
        <w:t xml:space="preserve">49 </w:t>
      </w:r>
      <w:r w:rsidR="002E4CB7">
        <w:rPr>
          <w:lang w:val="en-US"/>
        </w:rPr>
        <w:t>questionnaires</w:t>
      </w:r>
      <w:r w:rsidR="00EE70A1">
        <w:rPr>
          <w:lang w:val="en-US"/>
        </w:rPr>
        <w:t xml:space="preserve"> (on top of the 159)</w:t>
      </w:r>
      <w:r w:rsidR="002E4CB7">
        <w:rPr>
          <w:lang w:val="en-US"/>
        </w:rPr>
        <w:t xml:space="preserve"> </w:t>
      </w:r>
      <w:r w:rsidR="00AA531C" w:rsidRPr="00286DC2">
        <w:rPr>
          <w:lang w:val="en-US"/>
        </w:rPr>
        <w:t xml:space="preserve">will be </w:t>
      </w:r>
      <w:r w:rsidR="002E4CB7" w:rsidRPr="00286DC2">
        <w:rPr>
          <w:lang w:val="en-US"/>
        </w:rPr>
        <w:t>excluded</w:t>
      </w:r>
      <w:r w:rsidR="00AA531C" w:rsidRPr="00286DC2">
        <w:rPr>
          <w:lang w:val="en-US"/>
        </w:rPr>
        <w:t xml:space="preserve"> by this</w:t>
      </w:r>
      <w:r w:rsidR="002E4CB7" w:rsidRPr="00286DC2">
        <w:rPr>
          <w:lang w:val="en-US"/>
        </w:rPr>
        <w:t>).</w:t>
      </w:r>
    </w:p>
    <w:p w14:paraId="124D7C4A" w14:textId="2B8935F8" w:rsidR="00356594" w:rsidRDefault="00356594" w:rsidP="00356594">
      <w:pPr>
        <w:pStyle w:val="ListParagraph"/>
        <w:numPr>
          <w:ilvl w:val="1"/>
          <w:numId w:val="9"/>
        </w:numPr>
        <w:rPr>
          <w:lang w:val="en-US"/>
        </w:rPr>
      </w:pPr>
      <w:r w:rsidRPr="00286DC2">
        <w:rPr>
          <w:lang w:val="en-US"/>
        </w:rPr>
        <w:t>Requiring 5 years of FU:</w:t>
      </w:r>
      <w:r w:rsidR="00BB0434">
        <w:rPr>
          <w:lang w:val="en-US"/>
        </w:rPr>
        <w:t xml:space="preserve"> </w:t>
      </w:r>
      <w:r w:rsidR="00E37836">
        <w:rPr>
          <w:lang w:val="en-US"/>
        </w:rPr>
        <w:t>A</w:t>
      </w:r>
      <w:r w:rsidR="00BB0434">
        <w:rPr>
          <w:lang w:val="en-US"/>
        </w:rPr>
        <w:t xml:space="preserve">nother </w:t>
      </w:r>
      <w:r w:rsidR="00E37836">
        <w:rPr>
          <w:lang w:val="en-US"/>
        </w:rPr>
        <w:t>1059</w:t>
      </w:r>
      <w:r w:rsidR="00E37836" w:rsidRPr="00286DC2">
        <w:rPr>
          <w:lang w:val="en-US"/>
        </w:rPr>
        <w:t xml:space="preserve"> </w:t>
      </w:r>
      <w:r w:rsidRPr="00286DC2">
        <w:rPr>
          <w:lang w:val="en-US"/>
        </w:rPr>
        <w:t>questionnaires</w:t>
      </w:r>
      <w:r>
        <w:rPr>
          <w:lang w:val="en-US"/>
        </w:rPr>
        <w:t xml:space="preserve"> will be excluded.</w:t>
      </w:r>
    </w:p>
    <w:p w14:paraId="06AA3616" w14:textId="77777777" w:rsidR="00817A33" w:rsidRPr="00817A33" w:rsidRDefault="00817A33" w:rsidP="00817A33">
      <w:pPr>
        <w:pStyle w:val="ListParagraph"/>
        <w:rPr>
          <w:lang w:val="en-US"/>
        </w:rPr>
      </w:pPr>
    </w:p>
    <w:p w14:paraId="5217F402" w14:textId="77777777" w:rsidR="000F03EC" w:rsidRPr="000F03EC" w:rsidRDefault="000F03EC" w:rsidP="002072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F03EC">
        <w:rPr>
          <w:b/>
          <w:bCs/>
          <w:lang w:val="en-US"/>
        </w:rPr>
        <w:t>Questionable answers:</w:t>
      </w:r>
    </w:p>
    <w:p w14:paraId="5CDAEE1A" w14:textId="286D0B5B" w:rsidR="00BB0434" w:rsidRPr="00BF55D9" w:rsidRDefault="00BB0434" w:rsidP="00BF55D9">
      <w:pPr>
        <w:rPr>
          <w:highlight w:val="yellow"/>
          <w:lang w:val="en-US"/>
        </w:rPr>
      </w:pPr>
      <w:r w:rsidRPr="00BF55D9">
        <w:rPr>
          <w:lang w:val="en-US"/>
        </w:rPr>
        <w:t>Handling mismatch</w:t>
      </w:r>
      <w:r w:rsidR="002F33A5" w:rsidRPr="00BF55D9">
        <w:rPr>
          <w:lang w:val="en-US"/>
        </w:rPr>
        <w:t xml:space="preserve"> of sex and age</w:t>
      </w:r>
      <w:r w:rsidRPr="00BF55D9">
        <w:rPr>
          <w:lang w:val="en-US"/>
        </w:rPr>
        <w:t xml:space="preserve"> between questionnaire and </w:t>
      </w:r>
      <w:r w:rsidR="00E55930" w:rsidRPr="00BF55D9">
        <w:rPr>
          <w:lang w:val="en-US"/>
        </w:rPr>
        <w:t>register</w:t>
      </w:r>
      <w:r w:rsidR="008D7A56">
        <w:rPr>
          <w:lang w:val="en-US"/>
        </w:rPr>
        <w:t xml:space="preserve"> </w:t>
      </w:r>
      <w:r w:rsidR="00E55930" w:rsidRPr="00BF55D9">
        <w:rPr>
          <w:lang w:val="en-US"/>
        </w:rPr>
        <w:t>data.</w:t>
      </w:r>
      <w:r w:rsidR="00BF55D9">
        <w:rPr>
          <w:lang w:val="en-US"/>
        </w:rPr>
        <w:t xml:space="preserve"> (In case of missing age or sex, registry data are used).</w:t>
      </w:r>
    </w:p>
    <w:p w14:paraId="4EBF22BB" w14:textId="42F67D80" w:rsidR="00286DC2" w:rsidRDefault="00E55930" w:rsidP="00286DC2">
      <w:pPr>
        <w:pStyle w:val="ListParagraph"/>
        <w:numPr>
          <w:ilvl w:val="1"/>
          <w:numId w:val="1"/>
        </w:numPr>
        <w:rPr>
          <w:lang w:val="en-US"/>
        </w:rPr>
      </w:pPr>
      <w:r w:rsidRPr="00E37836">
        <w:rPr>
          <w:lang w:val="en-US"/>
        </w:rPr>
        <w:t>Age-mismat</w:t>
      </w:r>
      <w:r w:rsidR="002F33A5" w:rsidRPr="00E37836">
        <w:rPr>
          <w:lang w:val="en-US"/>
        </w:rPr>
        <w:t>c</w:t>
      </w:r>
      <w:r w:rsidRPr="00E37836">
        <w:rPr>
          <w:lang w:val="en-US"/>
        </w:rPr>
        <w:t xml:space="preserve">h: </w:t>
      </w:r>
      <w:r w:rsidR="00BF55D9" w:rsidRPr="00E37836">
        <w:rPr>
          <w:lang w:val="en-US"/>
        </w:rPr>
        <w:t>We find 366 responses</w:t>
      </w:r>
      <w:r w:rsidR="00BF55D9">
        <w:rPr>
          <w:lang w:val="en-US"/>
        </w:rPr>
        <w:t xml:space="preserve"> </w:t>
      </w:r>
      <w:r w:rsidR="006A7A1E" w:rsidRPr="00BF55D9">
        <w:rPr>
          <w:lang w:val="en-US"/>
        </w:rPr>
        <w:t>with</w:t>
      </w:r>
      <w:r w:rsidR="006A7A1E">
        <w:rPr>
          <w:lang w:val="en-US"/>
        </w:rPr>
        <w:t xml:space="preserve"> a major disagreement between </w:t>
      </w:r>
      <w:r w:rsidR="00462D39">
        <w:rPr>
          <w:lang w:val="en-US"/>
        </w:rPr>
        <w:t xml:space="preserve">self-reported </w:t>
      </w:r>
      <w:r w:rsidR="006A7A1E" w:rsidRPr="0009299B">
        <w:rPr>
          <w:b/>
          <w:bCs/>
          <w:lang w:val="en-US"/>
        </w:rPr>
        <w:t>age</w:t>
      </w:r>
      <w:r w:rsidR="006A7A1E">
        <w:rPr>
          <w:lang w:val="en-US"/>
        </w:rPr>
        <w:t xml:space="preserve"> </w:t>
      </w:r>
      <w:r w:rsidR="00462D39">
        <w:rPr>
          <w:lang w:val="en-US"/>
        </w:rPr>
        <w:t>compared to Danish Civil Registration System (a difference of more than one year, or age missing)</w:t>
      </w:r>
      <w:r w:rsidR="007460F9">
        <w:rPr>
          <w:lang w:val="en-US"/>
        </w:rPr>
        <w:t xml:space="preserve"> among the 114,555 answers</w:t>
      </w:r>
      <w:r w:rsidR="00462D39">
        <w:rPr>
          <w:lang w:val="en-US"/>
        </w:rPr>
        <w:t>. Indicating that the questionnaire might be filled by a wrong person, or a person who on purpos</w:t>
      </w:r>
      <w:r w:rsidR="00286DC2">
        <w:rPr>
          <w:lang w:val="en-US"/>
        </w:rPr>
        <w:t>e wanted to insert wrong data.</w:t>
      </w:r>
      <w:r w:rsidR="00BF55D9">
        <w:rPr>
          <w:lang w:val="en-US"/>
        </w:rPr>
        <w:t xml:space="preserve"> (We find </w:t>
      </w:r>
      <w:r w:rsidR="00253530">
        <w:rPr>
          <w:lang w:val="en-US"/>
        </w:rPr>
        <w:t xml:space="preserve">245 among the </w:t>
      </w:r>
      <w:r w:rsidR="00253530" w:rsidRPr="00755FAD">
        <w:rPr>
          <w:lang w:val="en-US"/>
        </w:rPr>
        <w:t>96,423</w:t>
      </w:r>
      <w:r w:rsidR="00253530">
        <w:rPr>
          <w:lang w:val="en-US"/>
        </w:rPr>
        <w:t xml:space="preserve"> with a completed questionnaire)</w:t>
      </w:r>
    </w:p>
    <w:p w14:paraId="0B49BA38" w14:textId="3204A933" w:rsidR="00462D39" w:rsidRDefault="00286DC2" w:rsidP="00286D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Insisting on an exact match of age will remove another </w:t>
      </w:r>
      <w:r w:rsidR="00253530">
        <w:rPr>
          <w:lang w:val="en-US"/>
        </w:rPr>
        <w:t>4202</w:t>
      </w:r>
      <w:r>
        <w:rPr>
          <w:lang w:val="en-US"/>
        </w:rPr>
        <w:t xml:space="preserve"> participants though! </w:t>
      </w:r>
      <w:r w:rsidR="002F33A5">
        <w:rPr>
          <w:lang w:val="en-US"/>
        </w:rPr>
        <w:t>This</w:t>
      </w:r>
      <w:r>
        <w:rPr>
          <w:lang w:val="en-US"/>
        </w:rPr>
        <w:t xml:space="preserve"> could be caused by people starting the questionnaire </w:t>
      </w:r>
      <w:r w:rsidR="00253530">
        <w:rPr>
          <w:lang w:val="en-US"/>
        </w:rPr>
        <w:t>on</w:t>
      </w:r>
      <w:r>
        <w:rPr>
          <w:lang w:val="en-US"/>
        </w:rPr>
        <w:t xml:space="preserve"> one </w:t>
      </w:r>
      <w:r w:rsidR="000F03EC">
        <w:rPr>
          <w:lang w:val="en-US"/>
        </w:rPr>
        <w:t>date, and finalizing it later</w:t>
      </w:r>
      <w:r w:rsidR="00634A1D">
        <w:rPr>
          <w:lang w:val="en-US"/>
        </w:rPr>
        <w:t xml:space="preserve">, or simply not remembering their exact age or </w:t>
      </w:r>
      <w:r w:rsidR="002F33A5">
        <w:rPr>
          <w:lang w:val="en-US"/>
        </w:rPr>
        <w:t>mistyping</w:t>
      </w:r>
      <w:r w:rsidR="00634A1D">
        <w:rPr>
          <w:lang w:val="en-US"/>
        </w:rPr>
        <w:t xml:space="preserve"> it</w:t>
      </w:r>
      <w:r w:rsidR="000F03EC">
        <w:rPr>
          <w:lang w:val="en-US"/>
        </w:rPr>
        <w:t>.</w:t>
      </w:r>
      <w:r w:rsidR="00596472">
        <w:rPr>
          <w:lang w:val="en-US"/>
        </w:rPr>
        <w:t xml:space="preserve"> We suggest</w:t>
      </w:r>
      <w:r w:rsidR="000F03EC">
        <w:rPr>
          <w:lang w:val="en-US"/>
        </w:rPr>
        <w:t xml:space="preserve"> accepting a difference in one year.</w:t>
      </w:r>
    </w:p>
    <w:p w14:paraId="0B92178D" w14:textId="77E66195" w:rsidR="006A7A1E" w:rsidRDefault="00253530" w:rsidP="000F03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134</w:t>
      </w:r>
      <w:r w:rsidR="00462D39">
        <w:rPr>
          <w:lang w:val="en-US"/>
        </w:rPr>
        <w:t xml:space="preserve"> with disagreement between self-reported </w:t>
      </w:r>
      <w:r w:rsidR="0009299B" w:rsidRPr="0009299B">
        <w:rPr>
          <w:b/>
          <w:bCs/>
          <w:lang w:val="en-US"/>
        </w:rPr>
        <w:t>sex</w:t>
      </w:r>
      <w:r w:rsidR="00462D39">
        <w:rPr>
          <w:lang w:val="en-US"/>
        </w:rPr>
        <w:t xml:space="preserve"> compared to Danish Civil Registration System</w:t>
      </w:r>
      <w:r w:rsidR="0009299B">
        <w:rPr>
          <w:lang w:val="en-US"/>
        </w:rPr>
        <w:t xml:space="preserve"> or missing self-reported sex</w:t>
      </w:r>
      <w:r w:rsidR="00462D39">
        <w:rPr>
          <w:lang w:val="en-US"/>
        </w:rPr>
        <w:t>. Indicating that the questionnaire might be filled by a wrong person, or a person who on purpose wanted to insert wrong data.</w:t>
      </w:r>
      <w:r w:rsidR="0009299B">
        <w:rPr>
          <w:lang w:val="en-US"/>
        </w:rPr>
        <w:t xml:space="preserve"> But on the other hand, it could also result in excluding a few people perceiving themselves as having another gender than what is registered in Statistics Denmark (though taking the </w:t>
      </w:r>
      <w:r w:rsidR="00962E63">
        <w:rPr>
          <w:lang w:val="en-US"/>
        </w:rPr>
        <w:t>age group</w:t>
      </w:r>
      <w:r w:rsidR="0009299B">
        <w:rPr>
          <w:lang w:val="en-US"/>
        </w:rPr>
        <w:t xml:space="preserve"> 50-65 into account, we expect those numbers to be low).</w:t>
      </w:r>
    </w:p>
    <w:p w14:paraId="56956BCA" w14:textId="77777777" w:rsidR="004335FB" w:rsidRDefault="004335FB" w:rsidP="004335FB">
      <w:pPr>
        <w:pStyle w:val="ListParagraph"/>
        <w:ind w:left="360"/>
        <w:rPr>
          <w:lang w:val="en-US"/>
        </w:rPr>
      </w:pPr>
    </w:p>
    <w:p w14:paraId="64A6C6B0" w14:textId="153CBFC3" w:rsidR="0009299B" w:rsidRDefault="004335FB" w:rsidP="004335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proofErr w:type="gramStart"/>
      <w:r w:rsidRPr="004335FB">
        <w:rPr>
          <w:b/>
          <w:bCs/>
          <w:lang w:val="en-US"/>
        </w:rPr>
        <w:t>Studyspecific</w:t>
      </w:r>
      <w:proofErr w:type="spellEnd"/>
      <w:proofErr w:type="gramEnd"/>
      <w:r w:rsidRPr="004335FB">
        <w:rPr>
          <w:b/>
          <w:bCs/>
          <w:lang w:val="en-US"/>
        </w:rPr>
        <w:t xml:space="preserve"> exclusions</w:t>
      </w:r>
    </w:p>
    <w:p w14:paraId="00E269CA" w14:textId="2F52B891" w:rsidR="00D90252" w:rsidRPr="00D90252" w:rsidRDefault="00D90252" w:rsidP="008D7A56">
      <w:pPr>
        <w:rPr>
          <w:lang w:val="en-US"/>
        </w:rPr>
      </w:pPr>
      <w:r w:rsidRPr="008D7A56">
        <w:rPr>
          <w:lang w:val="en-US"/>
        </w:rPr>
        <w:t xml:space="preserve">Will depend on study. </w:t>
      </w:r>
      <w:r>
        <w:rPr>
          <w:lang w:val="en-US"/>
        </w:rPr>
        <w:t xml:space="preserve">Some examples of </w:t>
      </w:r>
      <w:r w:rsidR="00962E63">
        <w:rPr>
          <w:lang w:val="en-US"/>
        </w:rPr>
        <w:t xml:space="preserve">general and </w:t>
      </w:r>
      <w:r>
        <w:rPr>
          <w:lang w:val="en-US"/>
        </w:rPr>
        <w:t>study</w:t>
      </w:r>
      <w:r w:rsidR="00962E63">
        <w:rPr>
          <w:lang w:val="en-US"/>
        </w:rPr>
        <w:t xml:space="preserve"> </w:t>
      </w:r>
      <w:r>
        <w:rPr>
          <w:lang w:val="en-US"/>
        </w:rPr>
        <w:t>specific exclusion from previous studies:</w:t>
      </w:r>
    </w:p>
    <w:p w14:paraId="37E63BE7" w14:textId="352CCC73" w:rsidR="00E738C9" w:rsidRPr="004335FB" w:rsidRDefault="004335FB" w:rsidP="004335FB">
      <w:pPr>
        <w:pStyle w:val="ListParagraph"/>
        <w:numPr>
          <w:ilvl w:val="0"/>
          <w:numId w:val="7"/>
        </w:numPr>
        <w:rPr>
          <w:lang w:val="en-US"/>
        </w:rPr>
      </w:pPr>
      <w:r w:rsidRPr="002E4CB7">
        <w:rPr>
          <w:b/>
          <w:bCs/>
          <w:lang w:val="en-US"/>
        </w:rPr>
        <w:t>Example</w:t>
      </w:r>
      <w:r w:rsidRPr="004335FB">
        <w:rPr>
          <w:lang w:val="en-US"/>
        </w:rPr>
        <w:t xml:space="preserve"> of </w:t>
      </w:r>
      <w:r w:rsidR="00B32A07">
        <w:rPr>
          <w:lang w:val="en-US"/>
        </w:rPr>
        <w:t>exclusions from the study in obesity and s</w:t>
      </w:r>
      <w:r>
        <w:rPr>
          <w:lang w:val="en-US"/>
        </w:rPr>
        <w:t>elf</w:t>
      </w:r>
      <w:r w:rsidR="00B32A07">
        <w:rPr>
          <w:lang w:val="en-US"/>
        </w:rPr>
        <w:t>-</w:t>
      </w:r>
      <w:proofErr w:type="gramStart"/>
      <w:r>
        <w:rPr>
          <w:lang w:val="en-US"/>
        </w:rPr>
        <w:t>reported</w:t>
      </w:r>
      <w:r w:rsidR="00B32A07">
        <w:rPr>
          <w:lang w:val="en-US"/>
        </w:rPr>
        <w:t>-</w:t>
      </w:r>
      <w:r>
        <w:rPr>
          <w:lang w:val="en-US"/>
        </w:rPr>
        <w:t>health</w:t>
      </w:r>
      <w:proofErr w:type="gramEnd"/>
      <w:r w:rsidR="003C0B25" w:rsidRPr="004335FB">
        <w:rPr>
          <w:lang w:val="en-US"/>
        </w:rPr>
        <w:t>:</w:t>
      </w:r>
    </w:p>
    <w:p w14:paraId="7E6AAC44" w14:textId="66B40661" w:rsidR="00114382" w:rsidRDefault="00114382" w:rsidP="003C0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BMI</w:t>
      </w:r>
      <w:r w:rsidR="004335FB">
        <w:rPr>
          <w:lang w:val="en-US"/>
        </w:rPr>
        <w:t xml:space="preserve"> (or implausible registrations </w:t>
      </w:r>
      <w:r w:rsidR="00C81F18">
        <w:rPr>
          <w:lang w:val="en-US"/>
        </w:rPr>
        <w:t>for weight</w:t>
      </w:r>
      <w:r w:rsidR="004335FB">
        <w:rPr>
          <w:lang w:val="en-US"/>
        </w:rPr>
        <w:t>, height or BMI)</w:t>
      </w:r>
    </w:p>
    <w:p w14:paraId="52C2AAD6" w14:textId="2C116B0F" w:rsidR="003C0B25" w:rsidRDefault="003C0B25" w:rsidP="003C0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BMI&lt;18.5 </w:t>
      </w:r>
      <w:r w:rsidR="00114382">
        <w:rPr>
          <w:lang w:val="en-US"/>
        </w:rPr>
        <w:t>(</w:t>
      </w:r>
      <w:r>
        <w:rPr>
          <w:lang w:val="en-US"/>
        </w:rPr>
        <w:t>underweight</w:t>
      </w:r>
      <w:r w:rsidR="00114382">
        <w:rPr>
          <w:lang w:val="en-US"/>
        </w:rPr>
        <w:t>)</w:t>
      </w:r>
      <w:r w:rsidR="00543EBA">
        <w:rPr>
          <w:lang w:val="en-US"/>
        </w:rPr>
        <w:t xml:space="preserve"> [Because </w:t>
      </w:r>
      <w:r w:rsidR="00E37836">
        <w:rPr>
          <w:lang w:val="en-US"/>
        </w:rPr>
        <w:t xml:space="preserve">this </w:t>
      </w:r>
      <w:r w:rsidR="00543EBA">
        <w:rPr>
          <w:lang w:val="en-US"/>
        </w:rPr>
        <w:t xml:space="preserve">study focused on </w:t>
      </w:r>
      <w:r w:rsidR="007131C8">
        <w:rPr>
          <w:lang w:val="en-US"/>
        </w:rPr>
        <w:t xml:space="preserve">obesity </w:t>
      </w:r>
      <w:r w:rsidR="00543EBA">
        <w:rPr>
          <w:lang w:val="en-US"/>
        </w:rPr>
        <w:t>vs. normal weight]</w:t>
      </w:r>
    </w:p>
    <w:p w14:paraId="737CE27F" w14:textId="60113F5A" w:rsidR="003C0B25" w:rsidRDefault="003C0B25" w:rsidP="003C0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Lookback &lt;1 yr</w:t>
      </w:r>
    </w:p>
    <w:p w14:paraId="091C1092" w14:textId="3C67D036" w:rsidR="003C0B25" w:rsidRDefault="003C0B25" w:rsidP="003C0B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self-reported health</w:t>
      </w:r>
    </w:p>
    <w:p w14:paraId="530A40C4" w14:textId="3772E91C" w:rsidR="00755FAD" w:rsidRDefault="00AA531C" w:rsidP="00AA531C">
      <w:pPr>
        <w:pStyle w:val="ListParagraph"/>
        <w:ind w:left="1080"/>
        <w:rPr>
          <w:lang w:val="en-US"/>
        </w:rPr>
      </w:pPr>
      <w:r w:rsidRPr="00AA531C">
        <w:rPr>
          <w:lang w:val="en-US"/>
        </w:rPr>
        <w:sym w:font="Wingdings" w:char="F0E0"/>
      </w:r>
      <w:r w:rsidR="00755FAD" w:rsidRPr="004335FB">
        <w:rPr>
          <w:lang w:val="en-US"/>
        </w:rPr>
        <w:t>We end up with</w:t>
      </w:r>
      <w:r w:rsidR="000E094F" w:rsidRPr="004335FB">
        <w:rPr>
          <w:lang w:val="en-US"/>
        </w:rPr>
        <w:t xml:space="preserve"> 88,399 valid records (among these </w:t>
      </w:r>
      <w:r w:rsidR="00755FAD" w:rsidRPr="004335FB">
        <w:rPr>
          <w:lang w:val="en-US"/>
        </w:rPr>
        <w:t xml:space="preserve">there </w:t>
      </w:r>
      <w:r w:rsidR="00E37836">
        <w:rPr>
          <w:lang w:val="en-US"/>
        </w:rPr>
        <w:t>were</w:t>
      </w:r>
      <w:r w:rsidR="00E37836" w:rsidRPr="004335FB">
        <w:rPr>
          <w:lang w:val="en-US"/>
        </w:rPr>
        <w:t xml:space="preserve"> </w:t>
      </w:r>
      <w:r w:rsidR="000E094F" w:rsidRPr="004335FB">
        <w:rPr>
          <w:lang w:val="en-US"/>
        </w:rPr>
        <w:t xml:space="preserve">222 </w:t>
      </w:r>
      <w:r w:rsidR="00E37836">
        <w:rPr>
          <w:lang w:val="en-US"/>
        </w:rPr>
        <w:t>resp</w:t>
      </w:r>
      <w:r w:rsidR="00EE70A1">
        <w:rPr>
          <w:lang w:val="en-US"/>
        </w:rPr>
        <w:t>o</w:t>
      </w:r>
      <w:r w:rsidR="00E37836">
        <w:rPr>
          <w:lang w:val="en-US"/>
        </w:rPr>
        <w:t>ndents</w:t>
      </w:r>
      <w:r w:rsidR="00E37836" w:rsidRPr="004335FB">
        <w:rPr>
          <w:lang w:val="en-US"/>
        </w:rPr>
        <w:t xml:space="preserve"> </w:t>
      </w:r>
      <w:r w:rsidR="000E094F" w:rsidRPr="004335FB">
        <w:rPr>
          <w:lang w:val="en-US"/>
        </w:rPr>
        <w:t>(0.25%)</w:t>
      </w:r>
      <w:r w:rsidR="00755FAD" w:rsidRPr="004335FB">
        <w:rPr>
          <w:lang w:val="en-US"/>
        </w:rPr>
        <w:t xml:space="preserve"> who</w:t>
      </w:r>
      <w:r w:rsidR="000E094F" w:rsidRPr="004335FB">
        <w:rPr>
          <w:lang w:val="en-US"/>
        </w:rPr>
        <w:t xml:space="preserve"> didn’t finalize the questionnaire).</w:t>
      </w:r>
    </w:p>
    <w:p w14:paraId="01283928" w14:textId="77777777" w:rsidR="00AA531C" w:rsidRDefault="00AA531C" w:rsidP="00AA531C">
      <w:pPr>
        <w:pStyle w:val="ListParagraph"/>
        <w:ind w:left="1080"/>
        <w:rPr>
          <w:lang w:val="en-US"/>
        </w:rPr>
      </w:pPr>
    </w:p>
    <w:p w14:paraId="3844DCFE" w14:textId="4E1AC440" w:rsidR="00154899" w:rsidRDefault="00AA531C" w:rsidP="00154899">
      <w:pPr>
        <w:pStyle w:val="ListParagraph"/>
        <w:numPr>
          <w:ilvl w:val="0"/>
          <w:numId w:val="10"/>
        </w:numPr>
        <w:rPr>
          <w:lang w:val="en-US"/>
        </w:rPr>
      </w:pPr>
      <w:r w:rsidRPr="00B32A07">
        <w:rPr>
          <w:b/>
          <w:bCs/>
          <w:lang w:val="en-US"/>
        </w:rPr>
        <w:t>Example</w:t>
      </w:r>
      <w:r w:rsidRPr="00AA531C">
        <w:rPr>
          <w:lang w:val="en-US"/>
        </w:rPr>
        <w:t xml:space="preserve"> (cohort-profile paper)</w:t>
      </w:r>
    </w:p>
    <w:p w14:paraId="12BAFA30" w14:textId="37915B66" w:rsidR="00B761BA" w:rsidRPr="00BC6BAE" w:rsidRDefault="00B761BA" w:rsidP="00B32A07">
      <w:pPr>
        <w:ind w:left="360"/>
        <w:rPr>
          <w:lang w:val="en-US"/>
        </w:rPr>
      </w:pPr>
      <w:r w:rsidRPr="00BC6BAE">
        <w:rPr>
          <w:lang w:val="en-US"/>
        </w:rPr>
        <w:t>“</w:t>
      </w:r>
      <w:r w:rsidRPr="00B32A07">
        <w:rPr>
          <w:lang w:val="en-US"/>
        </w:rPr>
        <w:t>We excluded respondents who answered none of the questions as well as those who provided no information on sex or indicated an age other than 50–65 years.</w:t>
      </w:r>
      <w:r w:rsidRPr="00BC6BAE">
        <w:rPr>
          <w:lang w:val="en-US"/>
        </w:rPr>
        <w:t>”</w:t>
      </w:r>
    </w:p>
    <w:p w14:paraId="4B09D6A8" w14:textId="714582E2" w:rsidR="00154899" w:rsidRDefault="00B761BA" w:rsidP="001548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Excluding 92 respondents who didn’t </w:t>
      </w:r>
      <w:r w:rsidR="00D61F91">
        <w:rPr>
          <w:lang w:val="en-US"/>
        </w:rPr>
        <w:t xml:space="preserve">answer </w:t>
      </w:r>
      <w:r>
        <w:rPr>
          <w:lang w:val="en-US"/>
        </w:rPr>
        <w:t xml:space="preserve">the sex-question </w:t>
      </w:r>
    </w:p>
    <w:p w14:paraId="28E608BB" w14:textId="78856005" w:rsidR="00154899" w:rsidRDefault="00B761BA" w:rsidP="001548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Excluding another 180 who didn’t answer the age question, or where the age wasn’t in the interval </w:t>
      </w:r>
      <w:r w:rsidR="00D61F91">
        <w:rPr>
          <w:lang w:val="en-US"/>
        </w:rPr>
        <w:t>50-66 years old.</w:t>
      </w:r>
    </w:p>
    <w:p w14:paraId="28B16853" w14:textId="754EC2DD" w:rsidR="00B761BA" w:rsidRPr="00BC6BAE" w:rsidRDefault="00B761BA" w:rsidP="00B32A07">
      <w:pPr>
        <w:ind w:left="720"/>
        <w:rPr>
          <w:lang w:val="en-US"/>
        </w:rPr>
      </w:pPr>
      <w:r w:rsidRPr="00B761BA">
        <w:rPr>
          <w:lang w:val="en-US"/>
        </w:rPr>
        <w:sym w:font="Wingdings" w:char="F0E0"/>
      </w:r>
      <w:r w:rsidRPr="00BC6BAE">
        <w:rPr>
          <w:lang w:val="en-US"/>
        </w:rPr>
        <w:t xml:space="preserve"> </w:t>
      </w:r>
      <w:r w:rsidR="00BC6BAE">
        <w:rPr>
          <w:lang w:val="en-US"/>
        </w:rPr>
        <w:t xml:space="preserve">Resulting in </w:t>
      </w:r>
      <w:r w:rsidRPr="00BC6BAE">
        <w:rPr>
          <w:lang w:val="en-US"/>
        </w:rPr>
        <w:t>a population of 114.</w:t>
      </w:r>
      <w:r w:rsidR="00BC6BAE" w:rsidRPr="00BC6BAE">
        <w:rPr>
          <w:lang w:val="en-US"/>
        </w:rPr>
        <w:t>2</w:t>
      </w:r>
      <w:r w:rsidRPr="00BC6BAE">
        <w:rPr>
          <w:lang w:val="en-US"/>
        </w:rPr>
        <w:t>83 respondents.</w:t>
      </w:r>
    </w:p>
    <w:p w14:paraId="0C0BF98F" w14:textId="48560D84" w:rsidR="006D1D5C" w:rsidRDefault="00D90252" w:rsidP="00D90252">
      <w:pPr>
        <w:pStyle w:val="ListParagraph"/>
        <w:numPr>
          <w:ilvl w:val="0"/>
          <w:numId w:val="13"/>
        </w:numPr>
        <w:rPr>
          <w:lang w:val="en-US"/>
        </w:rPr>
      </w:pPr>
      <w:r w:rsidRPr="008D7A56">
        <w:rPr>
          <w:b/>
          <w:bCs/>
          <w:lang w:val="en-US"/>
        </w:rPr>
        <w:lastRenderedPageBreak/>
        <w:t>Example</w:t>
      </w:r>
      <w:r w:rsidRPr="00D90252">
        <w:rPr>
          <w:lang w:val="en-US"/>
        </w:rPr>
        <w:t xml:space="preserve"> (Metabolic Syndrome)</w:t>
      </w:r>
      <w:r>
        <w:rPr>
          <w:lang w:val="en-US"/>
        </w:rPr>
        <w:t>.</w:t>
      </w:r>
    </w:p>
    <w:p w14:paraId="1C6FD6E6" w14:textId="0AA07A97" w:rsidR="00D90252" w:rsidRPr="00916405" w:rsidRDefault="00D90252" w:rsidP="008D7A56">
      <w:pPr>
        <w:rPr>
          <w:lang w:val="en-US"/>
        </w:rPr>
      </w:pPr>
      <w:r w:rsidRPr="008D7A56">
        <w:rPr>
          <w:lang w:val="en-US"/>
        </w:rPr>
        <w:t>Measure</w:t>
      </w:r>
      <w:r w:rsidRPr="00916405">
        <w:rPr>
          <w:lang w:val="en-US"/>
        </w:rPr>
        <w:t xml:space="preserve"> of Waist circumference is one of the components of metabolic </w:t>
      </w:r>
      <w:r w:rsidR="00D1368C" w:rsidRPr="00916405">
        <w:rPr>
          <w:lang w:val="en-US"/>
        </w:rPr>
        <w:t>syndrome but</w:t>
      </w:r>
      <w:r w:rsidRPr="00916405">
        <w:rPr>
          <w:lang w:val="en-US"/>
        </w:rPr>
        <w:t xml:space="preserve"> also </w:t>
      </w:r>
      <w:r w:rsidR="00D229C4" w:rsidRPr="00916405">
        <w:rPr>
          <w:lang w:val="en-US"/>
        </w:rPr>
        <w:t>has low completeness. We ended up with</w:t>
      </w:r>
    </w:p>
    <w:p w14:paraId="1F20FE01" w14:textId="65BF62DA" w:rsidR="00D229C4" w:rsidRDefault="00D229C4" w:rsidP="00D229C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main cohort (with valid waist-measurement): 50,736</w:t>
      </w:r>
    </w:p>
    <w:p w14:paraId="14105847" w14:textId="6607696C" w:rsidR="00D229C4" w:rsidRPr="00D90252" w:rsidRDefault="00D229C4" w:rsidP="008D7A5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comparison cohort of persons without a valid waist-measurement for sensitivity analyses: 63,186</w:t>
      </w:r>
    </w:p>
    <w:sectPr w:rsidR="00D229C4" w:rsidRPr="00D902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0BB1D" w14:textId="77777777" w:rsidR="00755FAD" w:rsidRDefault="00755FAD" w:rsidP="00755FAD">
      <w:pPr>
        <w:spacing w:after="0" w:line="240" w:lineRule="auto"/>
      </w:pPr>
      <w:r>
        <w:separator/>
      </w:r>
    </w:p>
  </w:endnote>
  <w:endnote w:type="continuationSeparator" w:id="0">
    <w:p w14:paraId="48E845C2" w14:textId="77777777" w:rsidR="00755FAD" w:rsidRDefault="00755FAD" w:rsidP="0075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A3A99" w14:textId="77777777" w:rsidR="00755FAD" w:rsidRDefault="00755FAD" w:rsidP="00755FAD">
      <w:pPr>
        <w:spacing w:after="0" w:line="240" w:lineRule="auto"/>
      </w:pPr>
      <w:r>
        <w:separator/>
      </w:r>
    </w:p>
  </w:footnote>
  <w:footnote w:type="continuationSeparator" w:id="0">
    <w:p w14:paraId="3FF88A51" w14:textId="77777777" w:rsidR="00755FAD" w:rsidRDefault="00755FAD" w:rsidP="0075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33160" w14:textId="6095A702" w:rsidR="00755FAD" w:rsidRDefault="00755FAD">
    <w:pPr>
      <w:pStyle w:val="Header"/>
    </w:pPr>
    <w:r>
      <w:tab/>
    </w:r>
    <w:r>
      <w:tab/>
    </w:r>
    <w:r>
      <w:tab/>
    </w:r>
    <w:r>
      <w:tab/>
    </w:r>
    <w:r w:rsidRPr="00755FAD">
      <w:rPr>
        <w:i/>
        <w:iCs/>
      </w:rPr>
      <w:t>Morten</w:t>
    </w:r>
    <w:r w:rsidR="00606DEA">
      <w:rPr>
        <w:i/>
        <w:iCs/>
      </w:rPr>
      <w:t xml:space="preserve"> and Cathrine </w:t>
    </w:r>
    <w:r w:rsidR="0024040C">
      <w:rPr>
        <w:i/>
        <w:iCs/>
      </w:rPr>
      <w:t>03apr</w:t>
    </w:r>
    <w:r w:rsidR="009859F6" w:rsidRPr="008D7A56">
      <w:t>r</w:t>
    </w:r>
    <w:r w:rsidR="00606DEA"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2C0"/>
    <w:multiLevelType w:val="hybridMultilevel"/>
    <w:tmpl w:val="46187C62"/>
    <w:lvl w:ilvl="0" w:tplc="644054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46C30"/>
    <w:multiLevelType w:val="hybridMultilevel"/>
    <w:tmpl w:val="646053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B2552"/>
    <w:multiLevelType w:val="hybridMultilevel"/>
    <w:tmpl w:val="12989B9E"/>
    <w:lvl w:ilvl="0" w:tplc="9D0C7180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F270A"/>
    <w:multiLevelType w:val="hybridMultilevel"/>
    <w:tmpl w:val="5AE811A0"/>
    <w:lvl w:ilvl="0" w:tplc="040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77FDF"/>
    <w:multiLevelType w:val="hybridMultilevel"/>
    <w:tmpl w:val="ECDC5EE8"/>
    <w:lvl w:ilvl="0" w:tplc="D8060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C453F"/>
    <w:multiLevelType w:val="hybridMultilevel"/>
    <w:tmpl w:val="B6BCFA94"/>
    <w:lvl w:ilvl="0" w:tplc="B6929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D2FA9"/>
    <w:multiLevelType w:val="hybridMultilevel"/>
    <w:tmpl w:val="C2129E28"/>
    <w:lvl w:ilvl="0" w:tplc="040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E45B2"/>
    <w:multiLevelType w:val="hybridMultilevel"/>
    <w:tmpl w:val="DE74C29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A18E2"/>
    <w:multiLevelType w:val="hybridMultilevel"/>
    <w:tmpl w:val="B7C4478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40F9D"/>
    <w:multiLevelType w:val="hybridMultilevel"/>
    <w:tmpl w:val="B0AA0E8E"/>
    <w:lvl w:ilvl="0" w:tplc="D3E0EF8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E7169"/>
    <w:multiLevelType w:val="hybridMultilevel"/>
    <w:tmpl w:val="F3A4978E"/>
    <w:lvl w:ilvl="0" w:tplc="BF6E6B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2EC7"/>
    <w:multiLevelType w:val="hybridMultilevel"/>
    <w:tmpl w:val="17E61762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2A4615"/>
    <w:multiLevelType w:val="hybridMultilevel"/>
    <w:tmpl w:val="53DC92D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41F30"/>
    <w:multiLevelType w:val="hybridMultilevel"/>
    <w:tmpl w:val="320C7AA6"/>
    <w:lvl w:ilvl="0" w:tplc="8C18E3A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572733">
    <w:abstractNumId w:val="2"/>
  </w:num>
  <w:num w:numId="2" w16cid:durableId="768238162">
    <w:abstractNumId w:val="12"/>
  </w:num>
  <w:num w:numId="3" w16cid:durableId="1776248319">
    <w:abstractNumId w:val="13"/>
  </w:num>
  <w:num w:numId="4" w16cid:durableId="1365398676">
    <w:abstractNumId w:val="9"/>
  </w:num>
  <w:num w:numId="5" w16cid:durableId="1508254294">
    <w:abstractNumId w:val="4"/>
  </w:num>
  <w:num w:numId="6" w16cid:durableId="1751929423">
    <w:abstractNumId w:val="5"/>
  </w:num>
  <w:num w:numId="7" w16cid:durableId="864250815">
    <w:abstractNumId w:val="7"/>
  </w:num>
  <w:num w:numId="8" w16cid:durableId="1597447291">
    <w:abstractNumId w:val="11"/>
  </w:num>
  <w:num w:numId="9" w16cid:durableId="1412391687">
    <w:abstractNumId w:val="8"/>
  </w:num>
  <w:num w:numId="10" w16cid:durableId="1680354851">
    <w:abstractNumId w:val="3"/>
  </w:num>
  <w:num w:numId="11" w16cid:durableId="1714036766">
    <w:abstractNumId w:val="10"/>
  </w:num>
  <w:num w:numId="12" w16cid:durableId="2144076259">
    <w:abstractNumId w:val="1"/>
  </w:num>
  <w:num w:numId="13" w16cid:durableId="352533883">
    <w:abstractNumId w:val="6"/>
  </w:num>
  <w:num w:numId="14" w16cid:durableId="85734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DB"/>
    <w:rsid w:val="00063469"/>
    <w:rsid w:val="0009299B"/>
    <w:rsid w:val="00092F62"/>
    <w:rsid w:val="000B2DDF"/>
    <w:rsid w:val="000E094F"/>
    <w:rsid w:val="000F03EC"/>
    <w:rsid w:val="00114382"/>
    <w:rsid w:val="00125D17"/>
    <w:rsid w:val="00154899"/>
    <w:rsid w:val="001E6AA9"/>
    <w:rsid w:val="001F479B"/>
    <w:rsid w:val="00202120"/>
    <w:rsid w:val="002072EE"/>
    <w:rsid w:val="0024040C"/>
    <w:rsid w:val="00253530"/>
    <w:rsid w:val="00286DC2"/>
    <w:rsid w:val="002C48B0"/>
    <w:rsid w:val="002D0F6C"/>
    <w:rsid w:val="002D6821"/>
    <w:rsid w:val="002E4CB7"/>
    <w:rsid w:val="002F33A5"/>
    <w:rsid w:val="00356594"/>
    <w:rsid w:val="00361E7A"/>
    <w:rsid w:val="003654FF"/>
    <w:rsid w:val="003C0B25"/>
    <w:rsid w:val="003C79AB"/>
    <w:rsid w:val="004335FB"/>
    <w:rsid w:val="00462D39"/>
    <w:rsid w:val="004A723E"/>
    <w:rsid w:val="004B02FE"/>
    <w:rsid w:val="004B2AFE"/>
    <w:rsid w:val="004E3F7B"/>
    <w:rsid w:val="00543EBA"/>
    <w:rsid w:val="00596472"/>
    <w:rsid w:val="005A599C"/>
    <w:rsid w:val="005E3782"/>
    <w:rsid w:val="00606DEA"/>
    <w:rsid w:val="00607744"/>
    <w:rsid w:val="00634A1D"/>
    <w:rsid w:val="006648F5"/>
    <w:rsid w:val="006A7A1E"/>
    <w:rsid w:val="006B4AD4"/>
    <w:rsid w:val="006D1D5C"/>
    <w:rsid w:val="00706204"/>
    <w:rsid w:val="007131C8"/>
    <w:rsid w:val="007460F9"/>
    <w:rsid w:val="00755FAD"/>
    <w:rsid w:val="00783AA9"/>
    <w:rsid w:val="007B792E"/>
    <w:rsid w:val="00817A33"/>
    <w:rsid w:val="0085346F"/>
    <w:rsid w:val="0088171C"/>
    <w:rsid w:val="0089391A"/>
    <w:rsid w:val="008D1BC3"/>
    <w:rsid w:val="008D7A56"/>
    <w:rsid w:val="008F2DC6"/>
    <w:rsid w:val="00916405"/>
    <w:rsid w:val="009170BF"/>
    <w:rsid w:val="00962E63"/>
    <w:rsid w:val="009859F6"/>
    <w:rsid w:val="009F12BB"/>
    <w:rsid w:val="00A56CF6"/>
    <w:rsid w:val="00A63302"/>
    <w:rsid w:val="00A7214A"/>
    <w:rsid w:val="00A77BCD"/>
    <w:rsid w:val="00A77E8E"/>
    <w:rsid w:val="00AA531C"/>
    <w:rsid w:val="00AB0A52"/>
    <w:rsid w:val="00AC1B05"/>
    <w:rsid w:val="00AD63F1"/>
    <w:rsid w:val="00B106EF"/>
    <w:rsid w:val="00B32A07"/>
    <w:rsid w:val="00B33F8F"/>
    <w:rsid w:val="00B57392"/>
    <w:rsid w:val="00B61793"/>
    <w:rsid w:val="00B624C7"/>
    <w:rsid w:val="00B761BA"/>
    <w:rsid w:val="00BA5697"/>
    <w:rsid w:val="00BB0434"/>
    <w:rsid w:val="00BC6BAE"/>
    <w:rsid w:val="00BF55D9"/>
    <w:rsid w:val="00C60E6E"/>
    <w:rsid w:val="00C6180B"/>
    <w:rsid w:val="00C81F18"/>
    <w:rsid w:val="00C91EB8"/>
    <w:rsid w:val="00D1368C"/>
    <w:rsid w:val="00D229C4"/>
    <w:rsid w:val="00D61F91"/>
    <w:rsid w:val="00D6353C"/>
    <w:rsid w:val="00D83B38"/>
    <w:rsid w:val="00D87598"/>
    <w:rsid w:val="00D90252"/>
    <w:rsid w:val="00DE034F"/>
    <w:rsid w:val="00DE30BA"/>
    <w:rsid w:val="00E24EB7"/>
    <w:rsid w:val="00E37836"/>
    <w:rsid w:val="00E4765F"/>
    <w:rsid w:val="00E55930"/>
    <w:rsid w:val="00E738C9"/>
    <w:rsid w:val="00EC632A"/>
    <w:rsid w:val="00EC6983"/>
    <w:rsid w:val="00EE70A1"/>
    <w:rsid w:val="00F20ADB"/>
    <w:rsid w:val="00F24475"/>
    <w:rsid w:val="00F57111"/>
    <w:rsid w:val="00F81387"/>
    <w:rsid w:val="00FA7667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BEC8"/>
  <w15:chartTrackingRefBased/>
  <w15:docId w15:val="{79135AAE-46E6-4908-B8FB-77AAE272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A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FAD"/>
  </w:style>
  <w:style w:type="paragraph" w:styleId="Footer">
    <w:name w:val="footer"/>
    <w:basedOn w:val="Normal"/>
    <w:link w:val="FooterChar"/>
    <w:uiPriority w:val="99"/>
    <w:unhideWhenUsed/>
    <w:rsid w:val="0075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AD"/>
  </w:style>
  <w:style w:type="character" w:styleId="CommentReference">
    <w:name w:val="annotation reference"/>
    <w:basedOn w:val="DefaultParagraphFont"/>
    <w:uiPriority w:val="99"/>
    <w:semiHidden/>
    <w:unhideWhenUsed/>
    <w:rsid w:val="00286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6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6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DC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34A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7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761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Madsen</dc:creator>
  <cp:keywords/>
  <dc:description/>
  <cp:lastModifiedBy>Morten Madsen</cp:lastModifiedBy>
  <cp:revision>7</cp:revision>
  <cp:lastPrinted>2025-02-18T10:28:00Z</cp:lastPrinted>
  <dcterms:created xsi:type="dcterms:W3CDTF">2025-04-03T11:53:00Z</dcterms:created>
  <dcterms:modified xsi:type="dcterms:W3CDTF">2025-04-03T13:07:00Z</dcterms:modified>
</cp:coreProperties>
</file>