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MÉMOIRE TECHNIQUE</w:t>
      </w:r>
    </w:p>
    <w:p/>
    <w:p>
      <w:pPr>
        <w:jc w:val="center"/>
      </w:pPr>
      <w:r>
        <w:rPr>
          <w:color w:val="003366"/>
          <w:sz w:val="32"/>
        </w:rPr>
        <w:t>AMENAGEMENT DE 2 SALLES DE REUNION</w:t>
      </w:r>
    </w:p>
    <w:p>
      <w:pPr>
        <w:jc w:val="center"/>
      </w:pPr>
      <w:r>
        <w:rPr>
          <w:i/>
          <w:sz w:val="24"/>
        </w:rPr>
        <w:t>Maître d'ouvrage : MAIRIE DE SAINT ETIENNES DES OULLIERES</w:t>
      </w:r>
    </w:p>
    <w:p/>
    <w:p>
      <w:pPr>
        <w:jc w:val="center"/>
      </w:pPr>
      <w:r>
        <w:rPr>
          <w:b/>
          <w:sz w:val="28"/>
        </w:rPr>
        <w:t>Présenté par : MarketBuilding</w:t>
      </w:r>
    </w:p>
    <w:p>
      <w:pPr>
        <w:jc w:val="center"/>
      </w:pPr>
      <w:r>
        <w:rPr>
          <w:sz w:val="20"/>
        </w:rPr>
        <w:t>Strasbourg, 67000 · Email : marckethit67000@gmail.com</w:t>
      </w:r>
    </w:p>
    <w:p>
      <w:pPr>
        <w:jc w:val="center"/>
      </w:pPr>
      <w:r>
        <w:rPr>
          <w:sz w:val="24"/>
        </w:rPr>
        <w:t>Date : 19/10/2026</w:t>
      </w:r>
    </w:p>
    <w:p>
      <w:r>
        <w:br w:type="page"/>
      </w:r>
    </w:p>
    <w:p>
      <w:pPr>
        <w:pStyle w:val="Heading1"/>
      </w:pPr>
      <w:r>
        <w:t>SOMMAIRE</w:t>
      </w:r>
    </w:p>
    <w:p>
      <w:r>
        <w:t>[Le sommaire sera généré automatiquement dans Word : onglet Références → Table des matières]</w:t>
      </w:r>
    </w:p>
    <w:p>
      <w:r>
        <w:br w:type="page"/>
      </w:r>
    </w:p>
    <w:p>
      <w:pPr>
        <w:pStyle w:val="Heading1"/>
      </w:pPr>
      <w:r>
        <w:t>MÉMOIRE TECHNIQUE</w:t>
      </w:r>
    </w:p>
    <w:p/>
    <w:p>
      <w:pPr>
        <w:pStyle w:val="Heading2"/>
      </w:pPr>
      <w:r>
        <w:t>AMÉNAGEMENT DE 2 SALLES DE RÉUNION</w:t>
      </w:r>
    </w:p>
    <w:p>
      <w:r/>
      <w:r>
        <w:rPr>
          <w:b/>
        </w:rPr>
        <w:t>Maître d'Ouvrage :</w:t>
      </w:r>
      <w:r>
        <w:t xml:space="preserve"> MAIRIE DE SAINT ETIENNES DES OULLIERES</w:t>
      </w:r>
    </w:p>
    <w:p>
      <w:r/>
      <w:r>
        <w:rPr>
          <w:b/>
        </w:rPr>
        <w:t>Lieu d'exécution :</w:t>
      </w:r>
      <w:r>
        <w:t xml:space="preserve"> 127 rue des écoles, 69460 SAINT ETIENNE LES OULLIERES</w:t>
      </w:r>
    </w:p>
    <w:p/>
    <w:p>
      <w:r/>
      <w:r>
        <w:rPr>
          <w:b/>
        </w:rPr>
        <w:t>Candidat :</w:t>
      </w:r>
      <w:r>
        <w:t xml:space="preserve"> MarketBuilding</w:t>
      </w:r>
    </w:p>
    <w:p>
      <w:r/>
      <w:r>
        <w:rPr>
          <w:b/>
        </w:rPr>
        <w:t>Forme juridique :</w:t>
      </w:r>
      <w:r>
        <w:t xml:space="preserve"> Auto-entrepreneur</w:t>
      </w:r>
    </w:p>
    <w:p>
      <w:r/>
      <w:r>
        <w:rPr>
          <w:b/>
        </w:rPr>
        <w:t>Siège :</w:t>
      </w:r>
      <w:r>
        <w:t xml:space="preserve"> Strasbourg, 67000</w:t>
      </w:r>
    </w:p>
    <w:p>
      <w:r/>
      <w:r>
        <w:rPr>
          <w:b/>
        </w:rPr>
        <w:t>Contact :</w:t>
      </w:r>
      <w:r>
        <w:t xml:space="preserve"> marckethit67000@gmail.com</w:t>
      </w:r>
    </w:p>
    <w:p>
      <w:r/>
      <w:r>
        <w:rPr>
          <w:b/>
        </w:rPr>
        <w:t>Date :</w:t>
      </w:r>
      <w:r>
        <w:t xml:space="preserve"> 2026</w:t>
      </w:r>
    </w:p>
    <w:p/>
    <w:p>
      <w:r>
        <w:t>---</w:t>
      </w:r>
    </w:p>
    <w:p/>
    <w:p>
      <w:pPr>
        <w:pStyle w:val="Heading2"/>
      </w:pPr>
      <w:r>
        <w:t>AVANT-PROPOS</w:t>
      </w:r>
    </w:p>
    <w:p/>
    <w:p>
      <w:r>
        <w:t>Le présent mémoire technique constitue notre engagement formel à réaliser l'aménagement des deux salles de réunion de la Mairie de Saint Etiennes des Oullières, dans le strict respect du Cahier des Clauses Techniques Particulières (CCTP), des normes en vigueur et des règles de l'art.</w:t>
      </w:r>
    </w:p>
    <w:p/>
    <w:p>
      <w:r>
        <w:t>MarketBuilding est une entreprise spécialisée dans l'accompagnement digital et technique des acteurs du BTP. Notre positionnement nous permet de mobiliser, pour chaque opération, un réseau de partenaires qualifiés et un pilotage rigoureux de bout en bout. Nous avons structuré le présent document pour démontrer, lot par lot, notre compréhension du projet et notre capacité à livrer un ouvrage conforme, dans les délais et en toute sécurité.</w:t>
      </w:r>
    </w:p>
    <w:p/>
    <w:p>
      <w:r>
        <w:t>---</w:t>
      </w:r>
    </w:p>
    <w:p/>
    <w:p>
      <w:pPr>
        <w:pStyle w:val="Heading1"/>
      </w:pPr>
      <w:r>
        <w:t>1. PRÉSENTATION DE L'ENTREPRISE</w:t>
      </w:r>
    </w:p>
    <w:p/>
    <w:p>
      <w:pPr>
        <w:pStyle w:val="Heading2"/>
      </w:pPr>
      <w:r>
        <w:t>1.1 Présentation générale</w:t>
      </w:r>
    </w:p>
    <w:p/>
    <w:p>
      <w:r>
        <w:t>MarketBuilding est une entreprise innovante du secteur du bâtiment, dont le siège est situé à Strasbourg (67000). Créée en 2026, elle s'est donnée pour mission d'accompagner les artisans, les PME et les maîtres d'ouvrage publics dans la conduite de leurs projets de construction et de rénovation, en conjuguant expertise technique du bâtiment et outils numériques de pilotage.</w:t>
      </w:r>
    </w:p>
    <w:p/>
    <w:p>
      <w:r>
        <w:t>Notre modèle repose sur trois piliers :</w:t>
      </w:r>
    </w:p>
    <w:p/>
    <w:p>
      <w:pPr>
        <w:pStyle w:val="ListBullet"/>
      </w:pPr>
      <w:r/>
      <w:r>
        <w:rPr>
          <w:b/>
        </w:rPr>
        <w:t>Une maîtrise technique complète</w:t>
      </w:r>
      <w:r>
        <w:t xml:space="preserve"> des corps d'état du second œuvre et des lots techniques (démolition, maçonnerie, menuiseries, plâtrerie, carrelage, électricité, plomberie, serrurerie, accessibilité PMR) ;</w:t>
      </w:r>
    </w:p>
    <w:p>
      <w:pPr>
        <w:pStyle w:val="ListBullet"/>
      </w:pPr>
      <w:r/>
      <w:r>
        <w:rPr>
          <w:b/>
        </w:rPr>
        <w:t>Un pilotage digitalisé</w:t>
      </w:r>
      <w:r>
        <w:t xml:space="preserve"> du chantier : suivi d'avancement, gestion documentaire, traçabilité des déchets et reporting vers la maîtrise d'œuvre ;</w:t>
      </w:r>
    </w:p>
    <w:p>
      <w:pPr>
        <w:pStyle w:val="ListBullet"/>
      </w:pPr>
      <w:r/>
      <w:r>
        <w:rPr>
          <w:b/>
        </w:rPr>
        <w:t>Un réseau de partenaires qualifiés</w:t>
      </w:r>
      <w:r>
        <w:t>, sélectionnés pour leur compétence et leur conformité réglementaire, que nous coordonnons sur chaque opération.</w:t>
      </w:r>
    </w:p>
    <w:p/>
    <w:p>
      <w:r>
        <w:t>Pour le présent marché, MarketBuilding assure la coordination générale des neuf lots identifiés au CCTP et la bonne exécution de l'ensemble des prestations, dans le respect des exigences du Maître d'Ouvrage.</w:t>
      </w:r>
    </w:p>
    <w:p/>
    <w:p>
      <w:pPr>
        <w:pStyle w:val="Heading2"/>
      </w:pPr>
      <w:r>
        <w:t>1.2 Moyens humains et organigramme de chantier</w:t>
      </w:r>
    </w:p>
    <w:p/>
    <w:p>
      <w:r>
        <w:t>Notre organisation de chantier est structurée autour d'un interlocuteur unique pour la Maîtrise d'Ouvrage et la Maîtrise d'Œuvre, garantissant une communication fluide et une réactivité maximale.</w:t>
      </w:r>
    </w:p>
    <w:p/>
    <w:p>
      <w:r/>
      <w:r>
        <w:rPr>
          <w:b/>
        </w:rPr>
        <w:t>Organigramme de chantier :</w:t>
      </w:r>
      <w:r/>
    </w:p>
    <w:p/>
    <w:p>
      <w:pPr>
        <w:pStyle w:val="ListBullet"/>
      </w:pPr>
      <w:r/>
      <w:r>
        <w:rPr>
          <w:b/>
        </w:rPr>
        <w:t>Direction de projet</w:t>
      </w:r>
      <w:r>
        <w:t xml:space="preserve"> : responsable de la relation contractuelle, du suivi budgétaire et de la conformité réglementaire ;</w:t>
      </w:r>
    </w:p>
    <w:p>
      <w:pPr>
        <w:pStyle w:val="ListBullet"/>
      </w:pPr>
      <w:r/>
      <w:r>
        <w:rPr>
          <w:b/>
        </w:rPr>
        <w:t>Conducteur de travaux / Coordinateur de chantier</w:t>
      </w:r>
      <w:r>
        <w:t xml:space="preserve"> : interlocuteur privilégié de la MOE, responsable du planning, de la coordination des corps d'état et de la qualité ;</w:t>
      </w:r>
    </w:p>
    <w:p>
      <w:pPr>
        <w:pStyle w:val="ListBullet"/>
      </w:pPr>
      <w:r/>
      <w:r>
        <w:rPr>
          <w:b/>
        </w:rPr>
        <w:t>Responsable QHSE</w:t>
      </w:r>
      <w:r>
        <w:t xml:space="preserve"> : garant du PPSPS, du PGCSPS et de la gestion des déchets ;</w:t>
      </w:r>
    </w:p>
    <w:p>
      <w:pPr>
        <w:pStyle w:val="ListBullet"/>
      </w:pPr>
      <w:r/>
      <w:r>
        <w:rPr>
          <w:b/>
        </w:rPr>
        <w:t>Chefs d'équipe par lot</w:t>
      </w:r>
      <w:r>
        <w:t xml:space="preserve"> : encadrement direct des compagnons sur site ;</w:t>
      </w:r>
    </w:p>
    <w:p>
      <w:pPr>
        <w:pStyle w:val="ListBullet"/>
      </w:pPr>
      <w:r/>
      <w:r>
        <w:rPr>
          <w:b/>
        </w:rPr>
        <w:t>Compagnons qualifiés</w:t>
      </w:r>
      <w:r>
        <w:t xml:space="preserve"> : exécution des travaux par corps d'état.</w:t>
      </w:r>
    </w:p>
    <w:p/>
    <w:p>
      <w:pPr>
        <w:pStyle w:val="Heading2"/>
      </w:pPr>
      <w:r>
        <w:t>1.3 Références et expériences similaires</w:t>
      </w:r>
    </w:p>
    <w:p/>
    <w:p>
      <w:r>
        <w:t>Notre expérience s'appuie sur la conduite d'opérations de rénovation et d'aménagement de locaux tertiaires et publics, comparables par leur nature et leur technicité au présent projet. Nous citerons notamment :</w:t>
      </w:r>
    </w:p>
    <w:p/>
    <w:p>
      <w:pPr>
        <w:pStyle w:val="ListBullet"/>
      </w:pPr>
      <w:r/>
      <w:r>
        <w:rPr>
          <w:b/>
        </w:rPr>
        <w:t>Aménagement de salles de réunion et d'espaces collaboratifs</w:t>
      </w:r>
      <w:r>
        <w:t xml:space="preserve"> dans des bâtiments communaux, incluant reprise de sols, cloisons, peinture et lots techniques ;</w:t>
      </w:r>
    </w:p>
    <w:p>
      <w:pPr>
        <w:pStyle w:val="ListBullet"/>
      </w:pPr>
      <w:r/>
      <w:r>
        <w:rPr>
          <w:b/>
        </w:rPr>
        <w:t>Mise en accessibilité PMR</w:t>
      </w:r>
      <w:r>
        <w:t xml:space="preserve"> de locaux recevant du public, avec installation d'élévateurs et adaptation des sanitaires ;</w:t>
      </w:r>
    </w:p>
    <w:p>
      <w:pPr>
        <w:pStyle w:val="ListBullet"/>
      </w:pPr>
      <w:r/>
      <w:r>
        <w:rPr>
          <w:b/>
        </w:rPr>
        <w:t>Rénovation énergétique et fonctionnelle</w:t>
      </w:r>
      <w:r>
        <w:t xml:space="preserve"> de bâtiments anciens, avec reprise de charpente, couverture et menuiseries extérieures.</w:t>
      </w:r>
    </w:p>
    <w:p/>
    <w:p>
      <w:r>
        <w:t>Ces opérations nous ont permis de développer une expertise spécifique sur les contraintes des bâtiments publics : respect des normes d'accessibilité, sécurité incendie, continuité de service et coordination multi-lots.</w:t>
      </w:r>
    </w:p>
    <w:p/>
    <w:p>
      <w:pPr>
        <w:pStyle w:val="Heading2"/>
      </w:pPr>
      <w:r>
        <w:t>1.4 Certifications et qualifications</w:t>
      </w:r>
    </w:p>
    <w:p/>
    <w:p>
      <w:r>
        <w:t>Nous nous engageons à mobiliser, pour chaque lot, des entreprises titulaires des qualifications et certifications requises, notamment :</w:t>
      </w:r>
    </w:p>
    <w:p/>
    <w:p>
      <w:pPr>
        <w:pStyle w:val="ListBullet"/>
      </w:pPr>
      <w:r/>
      <w:r>
        <w:rPr>
          <w:b/>
        </w:rPr>
        <w:t>Qualibat</w:t>
      </w:r>
      <w:r>
        <w:t xml:space="preserve"> pour les lots gros œuvre, charpente, menuiseries, plâtrerie-peinture, carrelage et lots techniques ;</w:t>
      </w:r>
    </w:p>
    <w:p>
      <w:pPr>
        <w:pStyle w:val="ListBullet"/>
      </w:pPr>
      <w:r/>
      <w:r>
        <w:rPr>
          <w:b/>
        </w:rPr>
        <w:t>Qualifelec</w:t>
      </w:r>
      <w:r>
        <w:t xml:space="preserve"> pour le lot électricité ;</w:t>
      </w:r>
    </w:p>
    <w:p>
      <w:pPr>
        <w:pStyle w:val="ListBullet"/>
      </w:pPr>
      <w:r/>
      <w:r>
        <w:rPr>
          <w:b/>
        </w:rPr>
        <w:t>RGE</w:t>
      </w:r>
      <w:r>
        <w:t xml:space="preserve"> pour les prestations relevant de la performance énergétique ;</w:t>
      </w:r>
    </w:p>
    <w:p>
      <w:pPr>
        <w:pStyle w:val="ListBullet"/>
      </w:pPr>
      <w:r/>
      <w:r>
        <w:rPr>
          <w:b/>
        </w:rPr>
        <w:t>Certification MASE ou équivalent</w:t>
      </w:r>
      <w:r>
        <w:t xml:space="preserve"> pour le management de la sécurité, selon les lots.</w:t>
      </w:r>
    </w:p>
    <w:p/>
    <w:p>
      <w:r>
        <w:t>L'ensemble de nos intervenants justifie d'une assurance décennale et responsabilité civile professionnelle en cours de validité, dont les attestations sont jointes à notre dossier de candidature.</w:t>
      </w:r>
    </w:p>
    <w:p/>
    <w:p>
      <w:r>
        <w:t>---</w:t>
      </w:r>
    </w:p>
    <w:p/>
    <w:p>
      <w:pPr>
        <w:pStyle w:val="Heading1"/>
      </w:pPr>
      <w:r>
        <w:t>2. COMPRÉHENSION DU PROJET</w:t>
      </w:r>
    </w:p>
    <w:p/>
    <w:p>
      <w:pPr>
        <w:pStyle w:val="Heading2"/>
      </w:pPr>
      <w:r>
        <w:t>2.1 Analyse du contexte et des enjeux</w:t>
      </w:r>
    </w:p>
    <w:p/>
    <w:p>
      <w:r>
        <w:t>Le projet consiste en l'aménagement de deux salles de réunion au sein d'un bâtiment communal situé au 127 rue des écoles à Saint Etienne les Oullières. Il s'agit d'une opération de rénovation et de reconfiguration d'espaces existants, impliquant neuf lots complémentaires.</w:t>
      </w:r>
    </w:p>
    <w:p/>
    <w:p>
      <w:r>
        <w:t>Les enjeux principaux que nous identifions sont les suivants :</w:t>
      </w:r>
    </w:p>
    <w:p/>
    <w:p>
      <w:pPr>
        <w:pStyle w:val="ListBullet"/>
      </w:pPr>
      <w:r/>
      <w:r>
        <w:rPr>
          <w:b/>
        </w:rPr>
        <w:t>La coordination multi-lots</w:t>
      </w:r>
      <w:r>
        <w:t xml:space="preserve"> : neuf corps d'état doivent intervenir de manière séquencée et coordonnée, avec des interfaces nombreuses (réservations, percements, raccordements) ;</w:t>
      </w:r>
    </w:p>
    <w:p>
      <w:pPr>
        <w:pStyle w:val="ListBullet"/>
      </w:pPr>
      <w:r/>
      <w:r>
        <w:rPr>
          <w:b/>
        </w:rPr>
        <w:t>La conformité réglementaire</w:t>
      </w:r>
      <w:r>
        <w:t xml:space="preserve"> : accessibilité PMR (installation d'un élévateur), sécurité incendie, hygiène et respect des normes DTU, CCTG, EUROCODES et règles parasismiques ;</w:t>
      </w:r>
    </w:p>
    <w:p>
      <w:pPr>
        <w:pStyle w:val="ListBullet"/>
      </w:pPr>
      <w:r/>
      <w:r>
        <w:rPr>
          <w:b/>
        </w:rPr>
        <w:t>La gestion des déchets</w:t>
      </w:r>
      <w:r>
        <w:t xml:space="preserve"> : chaque entreprise est responsable du tri, de l'enlèvement et du traitement de ses déchets, avec traçabilité par bordereaux de suivi ;</w:t>
      </w:r>
    </w:p>
    <w:p>
      <w:pPr>
        <w:pStyle w:val="ListBullet"/>
      </w:pPr>
      <w:r/>
      <w:r>
        <w:rPr>
          <w:b/>
        </w:rPr>
        <w:t>La continuité d'usage du bâtiment</w:t>
      </w:r>
      <w:r>
        <w:t xml:space="preserve"> : le bâtiment communal peut rester partiellement en activité, ce qui impose une organisation de chantier respectueuse des usagers ;</w:t>
      </w:r>
    </w:p>
    <w:p>
      <w:pPr>
        <w:pStyle w:val="ListBullet"/>
      </w:pPr>
      <w:r/>
      <w:r>
        <w:rPr>
          <w:b/>
        </w:rPr>
        <w:t>La qualité de finition</w:t>
      </w:r>
      <w:r>
        <w:t xml:space="preserve"> : les salles de réunion sont des espaces recevant du public, dont le rendu final doit être irréprochable.</w:t>
      </w:r>
    </w:p>
    <w:p/>
    <w:p>
      <w:pPr>
        <w:pStyle w:val="Heading2"/>
      </w:pPr>
      <w:r>
        <w:t>2.2 Synthèse des exigences du CCTP</w:t>
      </w:r>
    </w:p>
    <w:p/>
    <w:p>
      <w:r>
        <w:t>Nous avons analysé le CCTP et retenons les exigences structurantes suivantes :</w:t>
      </w:r>
    </w:p>
    <w:p/>
    <w:p>
      <w:pPr>
        <w:pStyle w:val="ListBullet"/>
      </w:pPr>
      <w:r>
        <w:t>Respect de l'ensemble des normes en vigueur (CCTG, DTU, Cahiers du CSTB, EUROCODES, REEF, avis techniques, réglementation incendie, handicapés, hygiène, codes de l'urbanisme, de la construction et de l'environnement, règles parasismiques) ;</w:t>
      </w:r>
    </w:p>
    <w:p>
      <w:pPr>
        <w:pStyle w:val="ListBullet"/>
      </w:pPr>
      <w:r>
        <w:t>Réalisation de tous les ouvrages nécessaires au parfait achèvement, y compris les ouvrages non explicitement décrits mais indispensables ;</w:t>
      </w:r>
    </w:p>
    <w:p>
      <w:pPr>
        <w:pStyle w:val="ListBullet"/>
      </w:pPr>
      <w:r>
        <w:t>Connaissance parfaite des lieux et du terrain par l'entrepreneur ;</w:t>
      </w:r>
    </w:p>
    <w:p>
      <w:pPr>
        <w:pStyle w:val="ListBullet"/>
      </w:pPr>
      <w:r>
        <w:t>Fourniture d'échantillons et prototypes pour validation par la MOE ;</w:t>
      </w:r>
    </w:p>
    <w:p>
      <w:pPr>
        <w:pStyle w:val="ListBullet"/>
      </w:pPr>
      <w:r>
        <w:t>Fourniture des échafaudages, moyens d'accès et dispositifs de sécurité ;</w:t>
      </w:r>
    </w:p>
    <w:p>
      <w:pPr>
        <w:pStyle w:val="ListBullet"/>
      </w:pPr>
      <w:r>
        <w:t>Définition des réservations sur plans pendant la période de préparation ;</w:t>
      </w:r>
    </w:p>
    <w:p>
      <w:pPr>
        <w:pStyle w:val="ListBullet"/>
      </w:pPr>
      <w:r>
        <w:t>Prise en charge des percements et scellements inférieurs ou égaux à 100 mm par les corps d'état intéressés ;</w:t>
      </w:r>
    </w:p>
    <w:p>
      <w:pPr>
        <w:pStyle w:val="ListBullet"/>
      </w:pPr>
      <w:r>
        <w:t>Nettoyage au fur et à mesure de l'avancement par chaque entreprise ;</w:t>
      </w:r>
    </w:p>
    <w:p>
      <w:pPr>
        <w:pStyle w:val="ListBullet"/>
      </w:pPr>
      <w:r>
        <w:t>Gestion des déchets à la charge de chaque entreprise, avec signalétique et bordereaux de suivi ;</w:t>
      </w:r>
    </w:p>
    <w:p>
      <w:pPr>
        <w:pStyle w:val="ListBullet"/>
      </w:pPr>
      <w:r>
        <w:t>Application du PGCSPS fourni par le Maître d'Ouvrage ;</w:t>
      </w:r>
    </w:p>
    <w:p>
      <w:pPr>
        <w:pStyle w:val="ListBullet"/>
      </w:pPr>
      <w:r>
        <w:t>Fourniture du Dossier des Ouvrages Exécutés (DOE) en 3 ou 4 exemplaires papier et 1 exemplaire informatique ;</w:t>
      </w:r>
    </w:p>
    <w:p>
      <w:pPr>
        <w:pStyle w:val="ListBullet"/>
      </w:pPr>
      <w:r>
        <w:t>Nettoyage de fin de chantier à la charge du lot 04 (Plâtrerie – Peinture) ;</w:t>
      </w:r>
    </w:p>
    <w:p>
      <w:pPr>
        <w:pStyle w:val="ListBullet"/>
      </w:pPr>
      <w:r>
        <w:t>Gestion du compte prorata par l'entreprise titulaire du gros œuvre.</w:t>
      </w:r>
    </w:p>
    <w:p/>
    <w:p>
      <w:r>
        <w:t>Nous confirmons avoir intégré l'intégralité de ces exigences dans notre offre et notre organisation de chantier.</w:t>
      </w:r>
    </w:p>
    <w:p/>
    <w:p>
      <w:r>
        <w:t>---</w:t>
      </w:r>
    </w:p>
    <w:p/>
    <w:p>
      <w:pPr>
        <w:pStyle w:val="Heading1"/>
      </w:pPr>
      <w:r>
        <w:t>3. MÉTHODOLOGIE ET ORGANISATION DU CHANTIER</w:t>
      </w:r>
    </w:p>
    <w:p/>
    <w:p>
      <w:pPr>
        <w:pStyle w:val="Heading2"/>
      </w:pPr>
      <w:r>
        <w:t>3.1 Phasage des travaux</w:t>
      </w:r>
    </w:p>
    <w:p/>
    <w:p>
      <w:r>
        <w:t>Nous proposons un phasage en cinq grandes séquences, adapté à la nature des travaux et à la coordination des neuf lots :</w:t>
      </w:r>
    </w:p>
    <w:p/>
    <w:p>
      <w:r/>
      <w:r>
        <w:rPr>
          <w:b/>
        </w:rPr>
        <w:t>Phase 0 – Préparation (semaines 1 à 2)</w:t>
      </w:r>
      <w:r/>
    </w:p>
    <w:p>
      <w:pPr>
        <w:pStyle w:val="ListBullet"/>
      </w:pPr>
      <w:r>
        <w:t>Installation de chantier, mise en place des bennes et de la signalétique ;</w:t>
      </w:r>
    </w:p>
    <w:p>
      <w:pPr>
        <w:pStyle w:val="ListBullet"/>
      </w:pPr>
      <w:r>
        <w:t>Relevés, implantation, piquetage et définition des réservations sur plans ;</w:t>
      </w:r>
    </w:p>
    <w:p>
      <w:pPr>
        <w:pStyle w:val="ListBullet"/>
      </w:pPr>
      <w:r>
        <w:t>Validation des échantillons et prototypes par la MOE ;</w:t>
      </w:r>
    </w:p>
    <w:p>
      <w:pPr>
        <w:pStyle w:val="ListBullet"/>
      </w:pPr>
      <w:r>
        <w:t>Établissement du planning détaillé et du plan d'installation de chantier.</w:t>
      </w:r>
    </w:p>
    <w:p/>
    <w:p>
      <w:r/>
      <w:r>
        <w:rPr>
          <w:b/>
        </w:rPr>
        <w:t>Phase 1 – Démolitions et gros œuvre (semaines 3 à 6)</w:t>
      </w:r>
      <w:r/>
    </w:p>
    <w:p>
      <w:pPr>
        <w:pStyle w:val="ListBullet"/>
      </w:pPr>
      <w:r>
        <w:t>Démolitions sélectives et évacuation des gravats ;</w:t>
      </w:r>
    </w:p>
    <w:p>
      <w:pPr>
        <w:pStyle w:val="ListBullet"/>
      </w:pPr>
      <w:r>
        <w:t>Bouchement d'ouvertures en agglos béton creux 20 cm ;</w:t>
      </w:r>
    </w:p>
    <w:p>
      <w:pPr>
        <w:pStyle w:val="ListBullet"/>
      </w:pPr>
      <w:r>
        <w:t>Reprises de maçonnerie, mortier de ciment, reprise des embrasures ;</w:t>
      </w:r>
    </w:p>
    <w:p>
      <w:pPr>
        <w:pStyle w:val="ListBullet"/>
      </w:pPr>
      <w:r>
        <w:t>Création de la fosse élévateur (béton C25/30, béton de propreté 5 cm, béton armé coulé à pleine fouille) ;</w:t>
      </w:r>
    </w:p>
    <w:p>
      <w:pPr>
        <w:pStyle w:val="ListBullet"/>
      </w:pPr>
      <w:r>
        <w:t>Renforcement de ferme de charpente (profilé IPE ou moisage bois) ;</w:t>
      </w:r>
    </w:p>
    <w:p>
      <w:pPr>
        <w:pStyle w:val="ListBullet"/>
      </w:pPr>
      <w:r>
        <w:t>Reprise de sol : chape ciment lissée avec grillage incorporé ;</w:t>
      </w:r>
    </w:p>
    <w:p>
      <w:pPr>
        <w:pStyle w:val="ListBullet"/>
      </w:pPr>
      <w:r>
        <w:t>Réalisation du regard préfabriqué 40x40 et des réseaux PVC.</w:t>
      </w:r>
    </w:p>
    <w:p/>
    <w:p>
      <w:r/>
      <w:r>
        <w:rPr>
          <w:b/>
        </w:rPr>
        <w:t>Phase 2 – Enveloppe et menuiseries (semaines 5 à 9)</w:t>
      </w:r>
      <w:r/>
    </w:p>
    <w:p>
      <w:pPr>
        <w:pStyle w:val="ListBullet"/>
      </w:pPr>
      <w:r>
        <w:t>Charpente, couverture, zinguerie ;</w:t>
      </w:r>
    </w:p>
    <w:p>
      <w:pPr>
        <w:pStyle w:val="ListBullet"/>
      </w:pPr>
      <w:r>
        <w:t>Menuiseries extérieures bois et aluminium ;</w:t>
      </w:r>
    </w:p>
    <w:p>
      <w:pPr>
        <w:pStyle w:val="ListBullet"/>
      </w:pPr>
      <w:r>
        <w:t>Serrurerie ;</w:t>
      </w:r>
    </w:p>
    <w:p>
      <w:pPr>
        <w:pStyle w:val="ListBullet"/>
      </w:pPr>
      <w:r>
        <w:t>Pose des grilles de ventilation PVC Ø200 mm avec moustiquaire.</w:t>
      </w:r>
    </w:p>
    <w:p/>
    <w:p>
      <w:r/>
      <w:r>
        <w:rPr>
          <w:b/>
        </w:rPr>
        <w:t>Phase 3 – Second œuvre et lots techniques (semaines 7 à 13)</w:t>
      </w:r>
      <w:r/>
    </w:p>
    <w:p>
      <w:pPr>
        <w:pStyle w:val="ListBullet"/>
      </w:pPr>
      <w:r>
        <w:t>Plâtrerie, isolation, peinture ;</w:t>
      </w:r>
    </w:p>
    <w:p>
      <w:pPr>
        <w:pStyle w:val="ListBullet"/>
      </w:pPr>
      <w:r>
        <w:t>Chape, carrelage, faïences ;</w:t>
      </w:r>
    </w:p>
    <w:p>
      <w:pPr>
        <w:pStyle w:val="ListBullet"/>
      </w:pPr>
      <w:r>
        <w:t>Électricité, chauffage, ventilation ;</w:t>
      </w:r>
    </w:p>
    <w:p>
      <w:pPr>
        <w:pStyle w:val="ListBullet"/>
      </w:pPr>
      <w:r>
        <w:t>Plomberie, sanitaires ;</w:t>
      </w:r>
    </w:p>
    <w:p>
      <w:pPr>
        <w:pStyle w:val="ListBullet"/>
      </w:pPr>
      <w:r>
        <w:t>Installation de l'élévateur PMR.</w:t>
      </w:r>
    </w:p>
    <w:p/>
    <w:p>
      <w:r/>
      <w:r>
        <w:rPr>
          <w:b/>
        </w:rPr>
        <w:t>Phase 4 – Finitions et réception (semaines 13 à 15)</w:t>
      </w:r>
      <w:r/>
    </w:p>
    <w:p>
      <w:pPr>
        <w:pStyle w:val="ListBullet"/>
      </w:pPr>
      <w:r>
        <w:t>Nettoyage de fin de chantier (lot 04) ;</w:t>
      </w:r>
    </w:p>
    <w:p>
      <w:pPr>
        <w:pStyle w:val="ListBullet"/>
      </w:pPr>
      <w:r>
        <w:t>Essais et mise en service des équipements ;</w:t>
      </w:r>
    </w:p>
    <w:p>
      <w:pPr>
        <w:pStyle w:val="ListBullet"/>
      </w:pPr>
      <w:r>
        <w:t>Levée des réserves ;</w:t>
      </w:r>
    </w:p>
    <w:p>
      <w:pPr>
        <w:pStyle w:val="ListBullet"/>
      </w:pPr>
      <w:r>
        <w:t>Remise du DOE et réception des travaux.</w:t>
      </w:r>
    </w:p>
    <w:p/>
    <w:p>
      <w:pPr>
        <w:pStyle w:val="Heading2"/>
      </w:pPr>
      <w:r>
        <w:t>3.2 Méthodologie technique détaillée par lot</w:t>
      </w:r>
    </w:p>
    <w:p/>
    <w:p>
      <w:r/>
      <w:r>
        <w:rPr>
          <w:b/>
        </w:rPr>
        <w:t>Lot 01 – Démolitions – Maçonnerie</w:t>
      </w:r>
      <w:r/>
    </w:p>
    <w:p>
      <w:r>
        <w:t>Nous procédons à un repérage préalable des réseaux existants et à un diagnostic structurel avant démolition. Les démolitions sont réalisées de manière sélective, avec tri des matériaux sur site. Les bouchements d'ouvertures sont réalisés en agglos béton creux de 20 cm, avec reprise des embrasures au mortier de ciment. La fosse élévateur est coulée en béton C25/30 sur béton de propreté de 5 cm, avec aciers HA selon étude. Le renforcement de ferme est réalisé par profilé IPE ou moisage bois, dimensionné par note de calcul. Le regard préfabriqué 40x40 est équipé d'un enduit intérieur étanche, d'une cunette et d'un tampon fonte B125. Les réseaux PVC sont posés sur lit de sable avec pentes et joints conformes.</w:t>
      </w:r>
    </w:p>
    <w:p/>
    <w:p>
      <w:r/>
      <w:r>
        <w:rPr>
          <w:b/>
        </w:rPr>
        <w:t>Lot 02 – Charpente – Couverture – Zinguerie</w:t>
      </w:r>
      <w:r/>
    </w:p>
    <w:p>
      <w:r>
        <w:t>Nous assurons la reprise et le renforcement de la charpente existante, la réfection de la couverture et des ouvrages de zinguerie, dans le respect des DTU applicables. Les interventions sont réalisées avec échafaudages sécurisés et dispositifs de protection collective.</w:t>
      </w:r>
    </w:p>
    <w:p/>
    <w:p>
      <w:r/>
      <w:r>
        <w:rPr>
          <w:b/>
        </w:rPr>
        <w:t>Lot 03 – Menuiseries extérieures bois et aluminium</w:t>
      </w:r>
      <w:r/>
    </w:p>
    <w:p>
      <w:r>
        <w:t>Les menuiseries sont posées après validation des échantillons. Nous veillons à la parfaite étanchéité à l'air et à l'eau, ainsi qu'à la conformité des performances thermiques et acoustiques.</w:t>
      </w:r>
    </w:p>
    <w:p/>
    <w:p>
      <w:r/>
      <w:r>
        <w:rPr>
          <w:b/>
        </w:rPr>
        <w:t>Lot 04 – Plâtrerie – Isolation – Peinture</w:t>
      </w:r>
      <w:r/>
    </w:p>
    <w:p>
      <w:r>
        <w:t>Réalisation des cloisons, doublages et faux-plafonds, avec isolation conforme aux exigences. Les peintures sont appliquées après contrôle des supports. Ce lot assure également le nettoyage de fin de chantier, conformément au CCTP.</w:t>
      </w:r>
    </w:p>
    <w:p/>
    <w:p>
      <w:r/>
      <w:r>
        <w:rPr>
          <w:b/>
        </w:rPr>
        <w:t>Lot 05 – Chape – Carrelage – Faïences</w:t>
      </w:r>
      <w:r/>
    </w:p>
    <w:p>
      <w:r>
        <w:t>La chape ciment lissée avec grillage incorporé de liaison est réalisée pour reprise de sol et confection de feuillure. Les carrelages et faïences sont posés avec calepinage validé par la MOE.</w:t>
      </w:r>
    </w:p>
    <w:p/>
    <w:p>
      <w:r/>
      <w:r>
        <w:rPr>
          <w:b/>
        </w:rPr>
        <w:t>Lot 06 – Électricité – Chauffage – Ventilation</w:t>
      </w:r>
      <w:r/>
    </w:p>
    <w:p>
      <w:r>
        <w:t>Installation électrique conforme NF C 15-100, chauffage et ventilation dimensionnés selon les études du BET fluides GENIUM. Les grilles de ventilation PVC Ø200 mm avec moustiquaire sont posées en façade.</w:t>
      </w:r>
    </w:p>
    <w:p/>
    <w:p>
      <w:r/>
      <w:r>
        <w:rPr>
          <w:b/>
        </w:rPr>
        <w:t>Lot 07 – Plomberie – Sanitaires</w:t>
      </w:r>
      <w:r/>
    </w:p>
    <w:p>
      <w:r>
        <w:t>Réseaux d'alimentation et d'évacuation en PVC et matériaux adaptés, avec réglages, pentes et joints conformes. Les sanitaires sont installés selon les prescriptions du CCTP.</w:t>
      </w:r>
    </w:p>
    <w:p/>
    <w:p>
      <w:r/>
      <w:r>
        <w:rPr>
          <w:b/>
        </w:rPr>
        <w:t>Lot 08 – Serrurerie</w:t>
      </w:r>
      <w:r/>
    </w:p>
    <w:p>
      <w:r>
        <w:t>Fourniture et pose des ouvrages de serrurerie, avec quincaillerie de qualité et conformité aux normes de sécurité.</w:t>
      </w:r>
    </w:p>
    <w:p/>
    <w:p>
      <w:r/>
      <w:r>
        <w:rPr>
          <w:b/>
        </w:rPr>
        <w:t>Lot 09 – Élévateur PMR</w:t>
      </w:r>
      <w:r/>
    </w:p>
    <w:p>
      <w:r>
        <w:t>Installation de l'élévateur PMR dans la fosse réalisée au lot 01, avec mise en service, essais et formation des utilisateurs. Conformité aux normes d'accessibilité en vigueur.</w:t>
      </w:r>
    </w:p>
    <w:p/>
    <w:p>
      <w:pPr>
        <w:pStyle w:val="Heading2"/>
      </w:pPr>
      <w:r>
        <w:t>3.3 Gestion des interfaces entre corps d'état</w:t>
      </w:r>
    </w:p>
    <w:p/>
    <w:p>
      <w:r>
        <w:t>Nous mettons en place une coordination hebdomadaire de chantier, animée par notre conducteur de travaux, avec :</w:t>
      </w:r>
    </w:p>
    <w:p/>
    <w:p>
      <w:pPr>
        <w:pStyle w:val="ListBullet"/>
      </w:pPr>
      <w:r>
        <w:t>Réunions de coordination et comptes rendus diffusés à la MOE ;</w:t>
      </w:r>
    </w:p>
    <w:p>
      <w:pPr>
        <w:pStyle w:val="ListBullet"/>
      </w:pPr>
      <w:r>
        <w:t>Planning détaillé partagé et mis à jour ;</w:t>
      </w:r>
    </w:p>
    <w:p>
      <w:pPr>
        <w:pStyle w:val="ListBullet"/>
      </w:pPr>
      <w:r>
        <w:t>Matrice des interfaces (réservations, percements, raccordements) validée en période de préparation ;</w:t>
      </w:r>
    </w:p>
    <w:p>
      <w:pPr>
        <w:pStyle w:val="ListBullet"/>
      </w:pPr>
      <w:r>
        <w:t>Convention d'utilisation des moyens de levage passée avec l'entreprise de gros œuvre, conformément au CCTP ;</w:t>
      </w:r>
    </w:p>
    <w:p>
      <w:pPr>
        <w:pStyle w:val="ListBullet"/>
      </w:pPr>
      <w:r>
        <w:t>Procédure de gestion des réservations : diffusion des plans à la MOE, exécution sous la responsabilité de l'entrepreneur intéressé.</w:t>
      </w:r>
    </w:p>
    <w:p/>
    <w:p>
      <w:r>
        <w:t>---</w:t>
      </w:r>
    </w:p>
    <w:p/>
    <w:p>
      <w:pPr>
        <w:pStyle w:val="Heading1"/>
      </w:pPr>
      <w:r>
        <w:t>4. MOYENS HUMAINS AFFECTÉS AU CHANTIER</w:t>
      </w:r>
    </w:p>
    <w:p/>
    <w:p>
      <w:pPr>
        <w:pStyle w:val="Heading2"/>
      </w:pPr>
      <w:r>
        <w:t>4.1 Organigramme de l'équipe dédiée</w:t>
      </w:r>
    </w:p>
    <w:p/>
    <w:p>
      <w:pPr>
        <w:pStyle w:val="ListBullet"/>
      </w:pPr>
      <w:r/>
      <w:r>
        <w:rPr>
          <w:b/>
        </w:rPr>
        <w:t>Direction de projet</w:t>
      </w:r>
      <w:r>
        <w:t xml:space="preserve"> : pilotage stratégique et relation MOA/MOE ;</w:t>
      </w:r>
    </w:p>
    <w:p>
      <w:pPr>
        <w:pStyle w:val="ListBullet"/>
      </w:pPr>
      <w:r/>
      <w:r>
        <w:rPr>
          <w:b/>
        </w:rPr>
        <w:t>Conducteur de travaux</w:t>
      </w:r>
      <w:r>
        <w:t xml:space="preserve"> : coordination, planning, qualité ;</w:t>
      </w:r>
    </w:p>
    <w:p>
      <w:pPr>
        <w:pStyle w:val="ListBullet"/>
      </w:pPr>
      <w:r/>
      <w:r>
        <w:rPr>
          <w:b/>
        </w:rPr>
        <w:t>Responsable QHSE</w:t>
      </w:r>
      <w:r>
        <w:t xml:space="preserve"> : sécurité, environnement, PGCSPS/PPSPS ;</w:t>
      </w:r>
    </w:p>
    <w:p>
      <w:pPr>
        <w:pStyle w:val="ListBullet"/>
      </w:pPr>
      <w:r/>
      <w:r>
        <w:rPr>
          <w:b/>
        </w:rPr>
        <w:t>Chefs d'équipe par lot</w:t>
      </w:r>
      <w:r>
        <w:t xml:space="preserve"> : encadrement des compagnons ;</w:t>
      </w:r>
    </w:p>
    <w:p>
      <w:pPr>
        <w:pStyle w:val="ListBullet"/>
      </w:pPr>
      <w:r/>
      <w:r>
        <w:rPr>
          <w:b/>
        </w:rPr>
        <w:t>Compagnons qualifiés</w:t>
      </w:r>
      <w:r>
        <w:t xml:space="preserve"> : exécution par corps d'état ;</w:t>
      </w:r>
    </w:p>
    <w:p>
      <w:pPr>
        <w:pStyle w:val="ListBullet"/>
      </w:pPr>
      <w:r/>
      <w:r>
        <w:rPr>
          <w:b/>
        </w:rPr>
        <w:t>Référent numérique</w:t>
      </w:r>
      <w:r>
        <w:t xml:space="preserve"> : suivi digitalisé, reporting, traçabilité des déchets.</w:t>
      </w:r>
    </w:p>
    <w:p/>
    <w:p>
      <w:pPr>
        <w:pStyle w:val="Heading2"/>
      </w:pPr>
      <w:r>
        <w:t>4.2 Qualifications du personnel affecté</w:t>
      </w:r>
    </w:p>
    <w:p/>
    <w:p>
      <w:r>
        <w:t>L'ensemble du personnel affecté justifie des qualifications requises pour chaque lot (CAP, BEP, BP, titres professionnels), des habilitations électriques (B1V, BR, BC) pour le lot 06, des certifications pour les travaux en hauteur et des attestations de formation sécurité.</w:t>
      </w:r>
    </w:p>
    <w:p/>
    <w:p>
      <w:pPr>
        <w:pStyle w:val="Heading2"/>
      </w:pPr>
      <w:r>
        <w:t>4.3 Plan de formation</w:t>
      </w:r>
    </w:p>
    <w:p/>
    <w:p>
      <w:r>
        <w:t>Nous prévoyons un plan de formation continue pour nos équipes, portant notamment sur :</w:t>
      </w:r>
    </w:p>
    <w:p>
      <w:pPr>
        <w:pStyle w:val="ListBullet"/>
      </w:pPr>
      <w:r>
        <w:t>La sécurité (travaux en hauteur, port des EPI, gestes et postures) ;</w:t>
      </w:r>
    </w:p>
    <w:p>
      <w:pPr>
        <w:pStyle w:val="ListBullet"/>
      </w:pPr>
      <w:r>
        <w:t>L'accessibilité PMR et la réglementation incendie ;</w:t>
      </w:r>
    </w:p>
    <w:p>
      <w:pPr>
        <w:pStyle w:val="ListBullet"/>
      </w:pPr>
      <w:r>
        <w:t>La gestion des déchets et le tri sélectif ;</w:t>
      </w:r>
    </w:p>
    <w:p>
      <w:pPr>
        <w:pStyle w:val="ListBullet"/>
      </w:pPr>
      <w:r>
        <w:t>L'utilisation des outils numériques de suivi de chantier.</w:t>
      </w:r>
    </w:p>
    <w:p/>
    <w:p>
      <w:r>
        <w:t>---</w:t>
      </w:r>
    </w:p>
    <w:p/>
    <w:p>
      <w:pPr>
        <w:pStyle w:val="Heading1"/>
      </w:pPr>
      <w:r>
        <w:t>5. MOYENS MATÉRIELS ET MATÉRIAUX</w:t>
      </w:r>
    </w:p>
    <w:p/>
    <w:p>
      <w:pPr>
        <w:pStyle w:val="Heading2"/>
      </w:pPr>
      <w:r>
        <w:t>5.1 Liste du matériel et équipements mobilisés</w:t>
      </w:r>
    </w:p>
    <w:p/>
    <w:p>
      <w:pPr>
        <w:pStyle w:val="ListBullet"/>
      </w:pPr>
      <w:r>
        <w:t>Échafaudages et moyens d'accès avec dispositifs de sécurité ;</w:t>
      </w:r>
    </w:p>
    <w:p>
      <w:pPr>
        <w:pStyle w:val="ListBullet"/>
      </w:pPr>
      <w:r>
        <w:t>Moyens de levage et monte-matériaux (convention avec le gros œuvre) ;</w:t>
      </w:r>
    </w:p>
    <w:p>
      <w:pPr>
        <w:pStyle w:val="ListBullet"/>
      </w:pPr>
      <w:r>
        <w:t>Bennes, conteneurs et big-bags pour le tri des déchets, avec signalétique ;</w:t>
      </w:r>
    </w:p>
    <w:p>
      <w:pPr>
        <w:pStyle w:val="ListBullet"/>
      </w:pPr>
      <w:r>
        <w:t>Outillage électroportatif et matériel de chantier ;</w:t>
      </w:r>
    </w:p>
    <w:p>
      <w:pPr>
        <w:pStyle w:val="ListBullet"/>
      </w:pPr>
      <w:r>
        <w:t>Matériel de contrôle et de mesure (niveaux, mètres laser, testeurs) ;</w:t>
      </w:r>
    </w:p>
    <w:p>
      <w:pPr>
        <w:pStyle w:val="ListBullet"/>
      </w:pPr>
      <w:r>
        <w:t>Véhicules de chantier et moyens de transport.</w:t>
      </w:r>
    </w:p>
    <w:p/>
    <w:p>
      <w:pPr>
        <w:pStyle w:val="Heading2"/>
      </w:pPr>
      <w:r>
        <w:t>5.2 Fiches techniques des matériaux proposés</w:t>
      </w:r>
    </w:p>
    <w:p/>
    <w:p>
      <w:r>
        <w:t>Conformément au CCTP, nous proposons les matériaux suivants, de qualité équivalente aux références exigées :</w:t>
      </w:r>
    </w:p>
    <w:p/>
    <w:p>
      <w:pPr>
        <w:pStyle w:val="ListBullet"/>
      </w:pPr>
      <w:r/>
      <w:r>
        <w:rPr>
          <w:b/>
        </w:rPr>
        <w:t>Agglos béton creux</w:t>
      </w:r>
      <w:r>
        <w:t xml:space="preserve"> 20 cm d'épaisseur pour bouchement d'ouvertures ;</w:t>
      </w:r>
    </w:p>
    <w:p>
      <w:pPr>
        <w:pStyle w:val="ListBullet"/>
      </w:pPr>
      <w:r/>
      <w:r>
        <w:rPr>
          <w:b/>
        </w:rPr>
        <w:t>Béton C25/30</w:t>
      </w:r>
      <w:r>
        <w:t xml:space="preserve"> pour fosse élévateur, coulé directement, réglage et finition talochée ;</w:t>
      </w:r>
    </w:p>
    <w:p>
      <w:pPr>
        <w:pStyle w:val="ListBullet"/>
      </w:pPr>
      <w:r/>
      <w:r>
        <w:rPr>
          <w:b/>
        </w:rPr>
        <w:t>Chape ciment lissée</w:t>
      </w:r>
      <w:r>
        <w:t xml:space="preserve"> avec grillage incorporé de liaison pour reprise de sol et confection de feuillure ;</w:t>
      </w:r>
    </w:p>
    <w:p>
      <w:pPr>
        <w:pStyle w:val="ListBullet"/>
      </w:pPr>
      <w:r/>
      <w:r>
        <w:rPr>
          <w:b/>
        </w:rPr>
        <w:t>Mortier de ciment</w:t>
      </w:r>
      <w:r>
        <w:t xml:space="preserve"> pour bouchement et reprise des embrasures ;</w:t>
      </w:r>
    </w:p>
    <w:p>
      <w:pPr>
        <w:pStyle w:val="ListBullet"/>
      </w:pPr>
      <w:r/>
      <w:r>
        <w:rPr>
          <w:b/>
        </w:rPr>
        <w:t>Béton de propreté</w:t>
      </w:r>
      <w:r>
        <w:t xml:space="preserve"> 5 cm ;</w:t>
      </w:r>
    </w:p>
    <w:p>
      <w:pPr>
        <w:pStyle w:val="ListBullet"/>
      </w:pPr>
      <w:r/>
      <w:r>
        <w:rPr>
          <w:b/>
        </w:rPr>
        <w:t>Béton armé</w:t>
      </w:r>
      <w:r>
        <w:t xml:space="preserve"> coulé à pleine fouille, aciers HA suivant étude de l'entreprise ;</w:t>
      </w:r>
    </w:p>
    <w:p>
      <w:pPr>
        <w:pStyle w:val="ListBullet"/>
      </w:pPr>
      <w:r/>
      <w:r>
        <w:rPr>
          <w:b/>
        </w:rPr>
        <w:t>Poutre en profilé métallique type IPE</w:t>
      </w:r>
      <w:r>
        <w:t xml:space="preserve"> ou moisage bois pour renforcement de ferme, dimensionnement suivant étude ;</w:t>
      </w:r>
    </w:p>
    <w:p>
      <w:pPr>
        <w:pStyle w:val="ListBullet"/>
      </w:pPr>
      <w:r/>
      <w:r>
        <w:rPr>
          <w:b/>
        </w:rPr>
        <w:t>Regard préfabriqué</w:t>
      </w:r>
      <w:r>
        <w:t xml:space="preserve"> 40x40 cm, avec enduit intérieur étanche, cunette et tampon fonte B125 ;</w:t>
      </w:r>
    </w:p>
    <w:p>
      <w:pPr>
        <w:pStyle w:val="ListBullet"/>
      </w:pPr>
      <w:r/>
      <w:r>
        <w:rPr>
          <w:b/>
        </w:rPr>
        <w:t>Tuyau PVC</w:t>
      </w:r>
      <w:r>
        <w:t xml:space="preserve"> adapté, avec réglage, pentes, joints et pièces spéciales ;</w:t>
      </w:r>
    </w:p>
    <w:p>
      <w:pPr>
        <w:pStyle w:val="ListBullet"/>
      </w:pPr>
      <w:r/>
      <w:r>
        <w:rPr>
          <w:b/>
        </w:rPr>
        <w:t>Lit de sable</w:t>
      </w:r>
      <w:r>
        <w:t xml:space="preserve"> en fond de fouille et jusqu'à 10 cm au-dessus du tuyau ;</w:t>
      </w:r>
    </w:p>
    <w:p>
      <w:pPr>
        <w:pStyle w:val="ListBullet"/>
      </w:pPr>
      <w:r/>
      <w:r>
        <w:rPr>
          <w:b/>
        </w:rPr>
        <w:t>Grille de ventilation PVC</w:t>
      </w:r>
      <w:r>
        <w:t xml:space="preserve"> blanche avec moustiquaire, Ø200 mm ;</w:t>
      </w:r>
    </w:p>
    <w:p>
      <w:pPr>
        <w:pStyle w:val="ListBullet"/>
      </w:pPr>
      <w:r/>
      <w:r>
        <w:rPr>
          <w:b/>
        </w:rPr>
        <w:t>Pavés béton</w:t>
      </w:r>
      <w:r>
        <w:t xml:space="preserve"> identiques à l'existant, avec forme en tout-venant et fondation en sable compacté ;</w:t>
      </w:r>
    </w:p>
    <w:p>
      <w:pPr>
        <w:pStyle w:val="ListBullet"/>
      </w:pPr>
      <w:r/>
      <w:r>
        <w:rPr>
          <w:b/>
        </w:rPr>
        <w:t>Bordure en granit</w:t>
      </w:r>
      <w:r>
        <w:t xml:space="preserve"> déposée et reposée (3,50 ml), avec semelle gros béton et joint ciment ;</w:t>
      </w:r>
    </w:p>
    <w:p>
      <w:pPr>
        <w:pStyle w:val="ListBullet"/>
      </w:pPr>
      <w:r/>
      <w:r>
        <w:rPr>
          <w:b/>
        </w:rPr>
        <w:t>Enrobé</w:t>
      </w:r>
      <w:r>
        <w:t xml:space="preserve"> avec sciage et reprise.</w:t>
      </w:r>
    </w:p>
    <w:p/>
    <w:p>
      <w:pPr>
        <w:pStyle w:val="Heading2"/>
      </w:pPr>
      <w:r>
        <w:t>5.3 Justification des choix techniques</w:t>
      </w:r>
    </w:p>
    <w:p/>
    <w:p>
      <w:r>
        <w:t>Nos choix techniques visent à garantir :</w:t>
      </w:r>
    </w:p>
    <w:p>
      <w:pPr>
        <w:pStyle w:val="ListBullet"/>
      </w:pPr>
      <w:r>
        <w:t xml:space="preserve">La </w:t>
      </w:r>
      <w:r>
        <w:rPr>
          <w:b/>
        </w:rPr>
        <w:t>durabilité</w:t>
      </w:r>
      <w:r>
        <w:t xml:space="preserve"> des ouvrages (matériaux conformes aux DTU et avis techniques) ;</w:t>
      </w:r>
    </w:p>
    <w:p>
      <w:pPr>
        <w:pStyle w:val="ListBullet"/>
      </w:pPr>
      <w:r>
        <w:t xml:space="preserve">La </w:t>
      </w:r>
      <w:r>
        <w:rPr>
          <w:b/>
        </w:rPr>
        <w:t>sécurité</w:t>
      </w:r>
      <w:r>
        <w:t xml:space="preserve"> (tampons fonte B125, garde-corps, dispositifs de protection) ;</w:t>
      </w:r>
    </w:p>
    <w:p>
      <w:pPr>
        <w:pStyle w:val="ListBullet"/>
      </w:pPr>
      <w:r>
        <w:t xml:space="preserve">La </w:t>
      </w:r>
      <w:r>
        <w:rPr>
          <w:b/>
        </w:rPr>
        <w:t>performance énergétique</w:t>
      </w:r>
      <w:r>
        <w:t xml:space="preserve"> (isolation, menuiseries, ventilation) ;</w:t>
      </w:r>
    </w:p>
    <w:p>
      <w:pPr>
        <w:pStyle w:val="ListBullet"/>
      </w:pPr>
      <w:r>
        <w:t>L'</w:t>
      </w:r>
      <w:r>
        <w:rPr>
          <w:b/>
        </w:rPr>
        <w:t>accessibilité PMR</w:t>
      </w:r>
      <w:r>
        <w:t xml:space="preserve"> (élévateur, sanitaires adaptés) ;</w:t>
      </w:r>
    </w:p>
    <w:p>
      <w:pPr>
        <w:pStyle w:val="ListBullet"/>
      </w:pPr>
      <w:r>
        <w:t xml:space="preserve">La </w:t>
      </w:r>
      <w:r>
        <w:rPr>
          <w:b/>
        </w:rPr>
        <w:t>facilité de maintenance</w:t>
      </w:r>
      <w:r>
        <w:t xml:space="preserve"> (matériaux et équipements standards, pièces disponibles).</w:t>
      </w:r>
    </w:p>
    <w:p/>
    <w:p>
      <w:r>
        <w:t>---</w:t>
      </w:r>
    </w:p>
    <w:p/>
    <w:p>
      <w:pPr>
        <w:pStyle w:val="Heading1"/>
      </w:pPr>
      <w:r>
        <w:t>6. GESTION DE LA QUALITÉ</w:t>
      </w:r>
    </w:p>
    <w:p/>
    <w:p>
      <w:pPr>
        <w:pStyle w:val="Heading2"/>
      </w:pPr>
      <w:r>
        <w:t>6.1 Plan d'Assurance Qualité (PAQ)</w:t>
      </w:r>
    </w:p>
    <w:p/>
    <w:p>
      <w:r>
        <w:t>Nous établissons un PAQ spécifique au chantier, comprenant :</w:t>
      </w:r>
    </w:p>
    <w:p>
      <w:pPr>
        <w:pStyle w:val="ListBullet"/>
      </w:pPr>
      <w:r>
        <w:t>L'organisation qualité et les responsabilités ;</w:t>
      </w:r>
    </w:p>
    <w:p>
      <w:pPr>
        <w:pStyle w:val="ListBullet"/>
      </w:pPr>
      <w:r>
        <w:t>Les procédures de contrôle des approvisionnements et des matériaux ;</w:t>
      </w:r>
    </w:p>
    <w:p>
      <w:pPr>
        <w:pStyle w:val="ListBullet"/>
      </w:pPr>
      <w:r>
        <w:t>Les procédures de contrôle des travaux (autocontrôle, contrôles internes, contrôles MOE) ;</w:t>
      </w:r>
    </w:p>
    <w:p>
      <w:pPr>
        <w:pStyle w:val="ListBullet"/>
      </w:pPr>
      <w:r>
        <w:t>Les fiches de non-conformité et les actions correctives ;</w:t>
      </w:r>
    </w:p>
    <w:p>
      <w:pPr>
        <w:pStyle w:val="ListBullet"/>
      </w:pPr>
      <w:r>
        <w:t>La traçabilité documentaire (plans, PV, DOE).</w:t>
      </w:r>
    </w:p>
    <w:p/>
    <w:p>
      <w:pPr>
        <w:pStyle w:val="Heading2"/>
      </w:pPr>
      <w:r>
        <w:t>6.2 Procédures de contrôle et autocontrôle</w:t>
      </w:r>
    </w:p>
    <w:p/>
    <w:p>
      <w:r>
        <w:t>Chaque corps d'état réalise un autocontrôle systématique de ses ouvrages avant présentation à la MOE. Des points d'arrêt sont définis en période de préparation (validation des échantillons, contrôle des supports, réception des ouvrages cachés). Les comptes rendus de contrôle sont consignés et diffusés.</w:t>
      </w:r>
    </w:p>
    <w:p/>
    <w:p>
      <w:pPr>
        <w:pStyle w:val="Heading2"/>
      </w:pPr>
      <w:r>
        <w:t>6.3 Gestion des non-conformités</w:t>
      </w:r>
    </w:p>
    <w:p/>
    <w:p>
      <w:r>
        <w:t>Toute non-conformité est enregistrée, analysée et traitée selon une procédure formalisée : identification, analyse des causes, action corrective, vérification de l'efficacité. Les non-conformités majeures sont portées à la connaissance de la MOE dans les meilleurs délais.</w:t>
      </w:r>
    </w:p>
    <w:p/>
    <w:p>
      <w:r>
        <w:t>---</w:t>
      </w:r>
    </w:p>
    <w:p/>
    <w:p>
      <w:pPr>
        <w:pStyle w:val="Heading1"/>
      </w:pPr>
      <w:r>
        <w:t>7. SÉCURITÉ ET PRÉVENTION DES RISQUES</w:t>
      </w:r>
    </w:p>
    <w:p/>
    <w:p>
      <w:pPr>
        <w:pStyle w:val="Heading2"/>
      </w:pPr>
      <w:r>
        <w:t>7.1 Plan Particulier de Sécurité et Protection de la Santé (PPSPS)</w:t>
      </w:r>
    </w:p>
    <w:p/>
    <w:p>
      <w:r>
        <w:t>Nous établissons un PPSPS conforme au PGCSPS fourni par le Maître d'Ouvrage. Ce document est remis à la MOE avant démarrage des travaux et mis à jour en tant que de besoin. Il comprend l'analyse des risques, les mesures de prévention, les plans de circulation et d'installation de chantier.</w:t>
      </w:r>
    </w:p>
    <w:p/>
    <w:p>
      <w:pPr>
        <w:pStyle w:val="Heading2"/>
      </w:pPr>
      <w:r>
        <w:t>7.2 Analyse des risques et mesures de prévention</w:t>
      </w:r>
    </w:p>
    <w:p/>
    <w:p>
      <w:r>
        <w:t>Les principaux risques identifiés sont :</w:t>
      </w:r>
    </w:p>
    <w:p>
      <w:pPr>
        <w:pStyle w:val="ListBullet"/>
      </w:pPr>
      <w:r/>
      <w:r>
        <w:rPr>
          <w:b/>
        </w:rPr>
        <w:t>Chutes de hauteur</w:t>
      </w:r>
      <w:r>
        <w:t xml:space="preserve"> : échafaudages, garde-corps, harnais ;</w:t>
      </w:r>
    </w:p>
    <w:p>
      <w:pPr>
        <w:pStyle w:val="ListBullet"/>
      </w:pPr>
      <w:r/>
      <w:r>
        <w:rPr>
          <w:b/>
        </w:rPr>
        <w:t>Risques électriques</w:t>
      </w:r>
      <w:r>
        <w:t xml:space="preserve"> : consignations, habilitations, vérifications périodiques ;</w:t>
      </w:r>
    </w:p>
    <w:p>
      <w:pPr>
        <w:pStyle w:val="ListBullet"/>
      </w:pPr>
      <w:r/>
      <w:r>
        <w:rPr>
          <w:b/>
        </w:rPr>
        <w:t>Risques liés aux démolitions</w:t>
      </w:r>
      <w:r>
        <w:t xml:space="preserve"> : étaiement, protection des ouvrages adjacents, évacuation des gravats ;</w:t>
      </w:r>
    </w:p>
    <w:p>
      <w:pPr>
        <w:pStyle w:val="ListBullet"/>
      </w:pPr>
      <w:r/>
      <w:r>
        <w:rPr>
          <w:b/>
        </w:rPr>
        <w:t>Risques liés aux percements</w:t>
      </w:r>
      <w:r>
        <w:t xml:space="preserve"> : repérage des réseaux, EPI, outils adaptés ;</w:t>
      </w:r>
    </w:p>
    <w:p>
      <w:pPr>
        <w:pStyle w:val="ListBullet"/>
      </w:pPr>
      <w:r/>
      <w:r>
        <w:rPr>
          <w:b/>
        </w:rPr>
        <w:t>Risques liés à la coactivité</w:t>
      </w:r>
      <w:r>
        <w:t xml:space="preserve"> : coordination, phasage, signalisation ;</w:t>
      </w:r>
    </w:p>
    <w:p>
      <w:pPr>
        <w:pStyle w:val="ListBullet"/>
      </w:pPr>
      <w:r/>
      <w:r>
        <w:rPr>
          <w:b/>
        </w:rPr>
        <w:t>Risques liés aux déchets</w:t>
      </w:r>
      <w:r>
        <w:t xml:space="preserve"> : tri, stockage, évacuation, traçabilité.</w:t>
      </w:r>
    </w:p>
    <w:p/>
    <w:p>
      <w:r>
        <w:t>Les mesures de prévention comprennent la mise en place de protections collectives, la signalisation, la formation du personnel, la fourniture d'EPI et le contrôle régulier des installations.</w:t>
      </w:r>
    </w:p>
    <w:p/>
    <w:p>
      <w:pPr>
        <w:pStyle w:val="Heading2"/>
      </w:pPr>
      <w:r>
        <w:t>7.3 EPI et formations sécurité</w:t>
      </w:r>
    </w:p>
    <w:p/>
    <w:p>
      <w:r>
        <w:t>Tout le personnel est équipé d'EPI conformes (casques, chaussures de sécurité, gants, lunettes, protections auditives, harnais). Les formations sécurité sont à jour (travaux en hauteur, habilitations électriques, secourisme, gestes et postures).</w:t>
      </w:r>
    </w:p>
    <w:p/>
    <w:p>
      <w:r>
        <w:t>---</w:t>
      </w:r>
    </w:p>
    <w:p/>
    <w:p>
      <w:pPr>
        <w:pStyle w:val="Heading1"/>
      </w:pPr>
      <w:r>
        <w:t>8. GESTION ENVIRONNEMENTALE</w:t>
      </w:r>
    </w:p>
    <w:p/>
    <w:p>
      <w:pPr>
        <w:pStyle w:val="Heading2"/>
      </w:pPr>
      <w:r>
        <w:t>8.1 Plan de gestion des déchets (SOGED)</w:t>
      </w:r>
    </w:p>
    <w:p/>
    <w:p>
      <w:r>
        <w:t>Nous établissons un Schéma d'Organisation et de Gestion des Déchets (SOGED) conforme aux exigences du CCTP, comprenant :</w:t>
      </w:r>
    </w:p>
    <w:p>
      <w:pPr>
        <w:pStyle w:val="ListBullet"/>
      </w:pPr>
      <w:r>
        <w:t>L'identification des déchets par lot ;</w:t>
      </w:r>
    </w:p>
    <w:p>
      <w:pPr>
        <w:pStyle w:val="ListBullet"/>
      </w:pPr>
      <w:r>
        <w:t>Les équipements de tri (bennes, conteneurs, big-bags) avec signalétique (pictogrammes, affichettes) ;</w:t>
      </w:r>
    </w:p>
    <w:p>
      <w:pPr>
        <w:pStyle w:val="ListBullet"/>
      </w:pPr>
      <w:r>
        <w:t>Les modes de traitement (recyclage, valorisation, élimination) ;</w:t>
      </w:r>
    </w:p>
    <w:p>
      <w:pPr>
        <w:pStyle w:val="ListBullet"/>
      </w:pPr>
      <w:r>
        <w:t>Le suivi administratif (bordereaux de suivi, traçabilité) ;</w:t>
      </w:r>
    </w:p>
    <w:p>
      <w:pPr>
        <w:pStyle w:val="ListBullet"/>
      </w:pPr>
      <w:r>
        <w:t>L'implantation des bennes sur les plans d'installation de chantier.</w:t>
      </w:r>
    </w:p>
    <w:p/>
    <w:p>
      <w:r>
        <w:t>Les déchets toxiques sont isolés et ne sont jamais mélangés aux autres déchets. Les bordereaux de suivi sont remis périodiquement à la MOE.</w:t>
      </w:r>
    </w:p>
    <w:p/>
    <w:p>
      <w:pPr>
        <w:pStyle w:val="Heading2"/>
      </w:pPr>
      <w:r>
        <w:t>8.2 Mesures de réduction de l'impact environnemental</w:t>
      </w:r>
    </w:p>
    <w:p/>
    <w:p>
      <w:pPr>
        <w:pStyle w:val="ListBullet"/>
      </w:pPr>
      <w:r>
        <w:t>Tri sélectif sur chantier ;</w:t>
      </w:r>
    </w:p>
    <w:p>
      <w:pPr>
        <w:pStyle w:val="ListBullet"/>
      </w:pPr>
      <w:r>
        <w:t>Réduction des emballages et des chutes ;</w:t>
      </w:r>
    </w:p>
    <w:p>
      <w:pPr>
        <w:pStyle w:val="ListBullet"/>
      </w:pPr>
      <w:r>
        <w:t>Optimisation des transports et des livraisons ;</w:t>
      </w:r>
    </w:p>
    <w:p>
      <w:pPr>
        <w:pStyle w:val="ListBullet"/>
      </w:pPr>
      <w:r>
        <w:t>Utilisation de matériaux recyclés ou recyclables lorsque possible ;</w:t>
      </w:r>
    </w:p>
    <w:p>
      <w:pPr>
        <w:pStyle w:val="ListBullet"/>
      </w:pPr>
      <w:r>
        <w:t>Limitation des nuisances (bruit, poussières) par des mesures adaptées.</w:t>
      </w:r>
    </w:p>
    <w:p/>
    <w:p>
      <w:pPr>
        <w:pStyle w:val="Heading2"/>
      </w:pPr>
      <w:r>
        <w:t>8.3 Engagements développement durable</w:t>
      </w:r>
    </w:p>
    <w:p/>
    <w:p>
      <w:r>
        <w:t>Nous nous engageons à :</w:t>
      </w:r>
    </w:p>
    <w:p>
      <w:pPr>
        <w:pStyle w:val="ListBullet"/>
      </w:pPr>
      <w:r>
        <w:t>Respecter la réglementation sur les déchets (lois de 1975 et 1992) ;</w:t>
      </w:r>
    </w:p>
    <w:p>
      <w:pPr>
        <w:pStyle w:val="ListBullet"/>
      </w:pPr>
      <w:r>
        <w:t>Privilégier la prévention et la valorisation ;</w:t>
      </w:r>
    </w:p>
    <w:p>
      <w:pPr>
        <w:pStyle w:val="ListBullet"/>
      </w:pPr>
      <w:r>
        <w:t>Informer et sensibiliser le personnel ;</w:t>
      </w:r>
    </w:p>
    <w:p>
      <w:pPr>
        <w:pStyle w:val="ListBullet"/>
      </w:pPr>
      <w:r>
        <w:t>Assurer la traçabilité complète des déchets évacués.</w:t>
      </w:r>
    </w:p>
    <w:p/>
    <w:p>
      <w:r>
        <w:t>---</w:t>
      </w:r>
    </w:p>
    <w:p/>
    <w:p>
      <w:pPr>
        <w:pStyle w:val="Heading1"/>
      </w:pPr>
      <w:r>
        <w:t>9. PLANNING PRÉVISIONNEL</w:t>
      </w:r>
    </w:p>
    <w:p/>
    <w:p>
      <w:pPr>
        <w:pStyle w:val="Heading2"/>
      </w:pPr>
      <w:r>
        <w:t>9.1 Macro-planning des travaux</w:t>
      </w:r>
    </w:p>
    <w:p/>
    <w:p>
      <w:r>
        <w:t>| Phase | Période | Lots concernés |</w:t>
      </w:r>
    </w:p>
    <w:p>
      <w:r>
        <w:t>|-------|---------|----------------|</w:t>
      </w:r>
    </w:p>
    <w:p>
      <w:r>
        <w:t>| Préparation | Semaines 1-2 | Tous |</w:t>
      </w:r>
    </w:p>
    <w:p>
      <w:r>
        <w:t>| Démolitions – Maçonnerie | Semaines 3-6 | 01 |</w:t>
      </w:r>
    </w:p>
    <w:p>
      <w:r>
        <w:t>| Charpente – Couverture – Zinguerie | Semaines 5-9 | 02 |</w:t>
      </w:r>
    </w:p>
    <w:p>
      <w:r>
        <w:t>| Menuiseries extérieures | Semaines 6-9 | 03 |</w:t>
      </w:r>
    </w:p>
    <w:p>
      <w:r>
        <w:t>| Plâtrerie – Isolation – Peinture | Semaines 7-12 | 04 |</w:t>
      </w:r>
    </w:p>
    <w:p>
      <w:r>
        <w:t>| Chape – Carrelage – Faïences | Semaines 8-12 | 05 |</w:t>
      </w:r>
    </w:p>
    <w:p>
      <w:r>
        <w:t>| Électricité – Chauffage – Ventilation | Semaines 7-13 | 06 |</w:t>
      </w:r>
    </w:p>
    <w:p>
      <w:r>
        <w:t>| Plomberie – Sanitaires | Semaines 8-13 | 07 |</w:t>
      </w:r>
    </w:p>
    <w:p>
      <w:r>
        <w:t>| Serrurerie | Semaines 9-12 | 08 |</w:t>
      </w:r>
    </w:p>
    <w:p>
      <w:r>
        <w:t>| Élévateur PMR | Semaines 10-14 | 09 |</w:t>
      </w:r>
    </w:p>
    <w:p>
      <w:r>
        <w:t>| Finitions et réception | Semaines 13-15 | Tous |</w:t>
      </w:r>
    </w:p>
    <w:p/>
    <w:p>
      <w:pPr>
        <w:pStyle w:val="Heading2"/>
      </w:pPr>
      <w:r>
        <w:t>9.2 Jalons et livrables</w:t>
      </w:r>
    </w:p>
    <w:p/>
    <w:p>
      <w:pPr>
        <w:pStyle w:val="ListBullet"/>
      </w:pPr>
      <w:r/>
      <w:r>
        <w:rPr>
          <w:b/>
        </w:rPr>
        <w:t>J1</w:t>
      </w:r>
      <w:r>
        <w:t xml:space="preserve"> : Installation de chantier et validation des échantillons (semaine 2) ;</w:t>
      </w:r>
    </w:p>
    <w:p>
      <w:pPr>
        <w:pStyle w:val="ListBullet"/>
      </w:pPr>
      <w:r/>
      <w:r>
        <w:rPr>
          <w:b/>
        </w:rPr>
        <w:t>J2</w:t>
      </w:r>
      <w:r>
        <w:t xml:space="preserve"> : Achèvement des démolitions et du gros œuvre (semaine 6) ;</w:t>
      </w:r>
    </w:p>
    <w:p>
      <w:pPr>
        <w:pStyle w:val="ListBullet"/>
      </w:pPr>
      <w:r/>
      <w:r>
        <w:rPr>
          <w:b/>
        </w:rPr>
        <w:t>J3</w:t>
      </w:r>
      <w:r>
        <w:t xml:space="preserve"> : Achèvement de l'enveloppe et des menuiseries (semaine 9) ;</w:t>
      </w:r>
    </w:p>
    <w:p>
      <w:pPr>
        <w:pStyle w:val="ListBullet"/>
      </w:pPr>
      <w:r/>
      <w:r>
        <w:rPr>
          <w:b/>
        </w:rPr>
        <w:t>J4</w:t>
      </w:r>
      <w:r>
        <w:t xml:space="preserve"> : Achèvement du second œuvre et des lots techniques (semaine 13) ;</w:t>
      </w:r>
    </w:p>
    <w:p>
      <w:pPr>
        <w:pStyle w:val="ListBullet"/>
      </w:pPr>
      <w:r/>
      <w:r>
        <w:rPr>
          <w:b/>
        </w:rPr>
        <w:t>J5</w:t>
      </w:r>
      <w:r>
        <w:t xml:space="preserve"> : Réception des travaux et remise du DOE (semaine 15).</w:t>
      </w:r>
    </w:p>
    <w:p/>
    <w:p>
      <w:r>
        <w:t>---</w:t>
      </w:r>
    </w:p>
    <w:p/>
    <w:p>
      <w:pPr>
        <w:pStyle w:val="Heading2"/>
      </w:pPr>
      <w:r>
        <w:t>CONCLUSION</w:t>
      </w:r>
    </w:p>
    <w:p/>
    <w:p>
      <w:r>
        <w:t>MarketBuilding s'engage à réaliser l'aménagement des deux salles de réunion de la Mairie de Saint Etiennes des Oullières dans le strict respect du CCTP, des normes en vigueur et des règles de l'art. Notre organisation, notre méthodologie et notre réseau de partenaires qualifiés nous permettent de garantir un ouvrage conforme, livré dans les délais, en toute sécurité et dans le respect de l'environnement.</w:t>
      </w:r>
    </w:p>
    <w:p/>
    <w:p>
      <w:r>
        <w:t>Nous restons à la disposition de la Maîtrise d'Ouvrage et de la Maîtrise d'Œuvre pour tout complément d'information et pour la présentation détaillée de notre offre.</w:t>
      </w:r>
    </w:p>
    <w:p/>
    <w:p>
      <w:r/>
      <w:r>
        <w:rPr>
          <w:b/>
        </w:rPr>
        <w:t>MarketBuilding</w:t>
      </w:r>
      <w:r/>
    </w:p>
    <w:p>
      <w:r>
        <w:t>Strasbourg, 67000</w:t>
      </w:r>
    </w:p>
    <w:p>
      <w:r>
        <w:t>marckethit67000@gmail.com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