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Сводка для утра: что за задача, что сделано, что получилось (≈2 страницы)</w:t>
      </w:r>
    </w:p>
    <w:p>
      <w:pPr>
        <w:pStyle w:val="Heading2"/>
      </w:pPr>
      <w:r>
        <w:t>1. Контекст: что вообще происходит</w:t>
      </w:r>
    </w:p>
    <w:p>
      <w:r>
        <w:t xml:space="preserve">Это work test для MATS у менторов </w:t>
      </w:r>
      <w:r>
        <w:rPr>
          <w:b/>
        </w:rPr>
        <w:t>Caspar Oesterheld и Emery Cooper</w:t>
      </w:r>
      <w:r>
        <w:t xml:space="preserve"> (Redwood Research, команда «conceptual reasoning capabilities»). Их программа: измерять и улучшать способность LLM к «концептуальным» рассуждениям — задачам без проверяемого ответа, где прогресс возможен только через аргументы (теория принятия решений, акаузальная кооперация, стратегия AI safety). У них три датасета: </w:t>
      </w:r>
      <w:r>
        <w:rPr>
          <w:b/>
        </w:rPr>
        <w:t>DTBench</w:t>
      </w:r>
      <w:r>
        <w:t xml:space="preserve"> (407 вопросов по Newcomb-подобным задачам; «насыщен» к июню 2026), </w:t>
      </w:r>
      <w:r>
        <w:rPr>
          <w:b/>
        </w:rPr>
        <w:t>LMCA</w:t>
      </w:r>
      <w:r>
        <w:t xml:space="preserve"> (экспертные оценки критик аргументов) и </w:t>
      </w:r>
      <w:r>
        <w:rPr>
          <w:b/>
        </w:rPr>
        <w:t>ACCoRD</w:t>
      </w:r>
      <w:r>
        <w:t xml:space="preserve"> (согласованность вероятностных суждений); вместе — Conceptual Reasoning Index (Anthropic + Redwood, август 2026). Заметки и ссылки — </w:t>
      </w:r>
      <w:r>
        <w:rPr>
          <w:rFonts w:ascii="Courier New" w:hAnsi="Courier New"/>
        </w:rPr>
        <w:t>research/README.md</w:t>
      </w:r>
      <w:r>
        <w:t>.</w:t>
      </w:r>
    </w:p>
    <w:p>
      <w:r>
        <w:t>Тест из двух частей (менторы прямо пишут: «слабо в одной половине, очень сильно в другой» — приемлемо):</w:t>
      </w:r>
    </w:p>
    <w:p>
      <w:pPr>
        <w:pStyle w:val="ListBullet"/>
      </w:pPr>
      <w:r/>
      <w:r>
        <w:rPr>
          <w:b/>
        </w:rPr>
        <w:t>Task 1</w:t>
      </w:r>
      <w:r>
        <w:t xml:space="preserve"> — на выбор: </w:t>
      </w:r>
      <w:r>
        <w:rPr>
          <w:b/>
        </w:rPr>
        <w:t>1a</w:t>
      </w:r>
      <w:r>
        <w:t xml:space="preserve"> три вопроса в стиле DTBench, на которых ошибаются фронтир-модели; </w:t>
      </w:r>
      <w:r>
        <w:rPr>
          <w:b/>
        </w:rPr>
        <w:t>1b</w:t>
      </w:r>
      <w:r>
        <w:t xml:space="preserve"> </w:t>
      </w:r>
      <w:r>
        <w:rPr>
          <w:i/>
        </w:rPr>
        <w:t>парадигма</w:t>
      </w:r>
      <w:r>
        <w:t xml:space="preserve"> (повторяемая</w:t>
      </w:r>
    </w:p>
    <w:p>
      <w:r>
        <w:t>методика) построения трудных концептуальных вопросов + ≥3 примера с рубрикой и обоснованием.</w:t>
      </w:r>
    </w:p>
    <w:p>
      <w:pPr>
        <w:pStyle w:val="ListBullet"/>
      </w:pPr>
      <w:r/>
      <w:r>
        <w:rPr>
          <w:b/>
        </w:rPr>
        <w:t>Task 2</w:t>
      </w:r>
      <w:r>
        <w:t xml:space="preserve"> — критика двух аргументов (по одной проблеме на аргумент, ≤1.5 стр. каждая): «Haste consideration» (80000 Hours,</w:t>
      </w:r>
    </w:p>
    <w:p>
      <w:r>
        <w:t>2012) и explainer «Blind Anthropic Cooperation» (BAC — идея самого Остерхельда).</w:t>
      </w:r>
    </w:p>
    <w:p>
      <w:r>
        <w:t xml:space="preserve">Сдача — Google Doc. Все материалы в репозитории (ветка </w:t>
      </w:r>
      <w:r>
        <w:rPr>
          <w:rFonts w:ascii="Courier New" w:hAnsi="Courier New"/>
        </w:rPr>
        <w:t>claude/wonderful-wozniak-t5n9yb</w:t>
      </w:r>
      <w:r>
        <w:t xml:space="preserve">), на английском, готовы к переносу: </w:t>
      </w:r>
      <w:r>
        <w:rPr>
          <w:rFonts w:ascii="Courier New" w:hAnsi="Courier New"/>
        </w:rPr>
        <w:t>task2/critique1_haste.md</w:t>
      </w:r>
      <w:r>
        <w:t xml:space="preserve">, </w:t>
      </w:r>
      <w:r>
        <w:rPr>
          <w:rFonts w:ascii="Courier New" w:hAnsi="Courier New"/>
        </w:rPr>
        <w:t>task2/critique2_bac.md</w:t>
      </w:r>
      <w:r>
        <w:t xml:space="preserve">, </w:t>
      </w:r>
      <w:r>
        <w:rPr>
          <w:rFonts w:ascii="Courier New" w:hAnsi="Courier New"/>
        </w:rPr>
        <w:t>task2/notes_supplementary.md</w:t>
      </w:r>
      <w:r>
        <w:t xml:space="preserve">, </w:t>
      </w:r>
      <w:r>
        <w:rPr>
          <w:rFonts w:ascii="Courier New" w:hAnsi="Courier New"/>
        </w:rPr>
        <w:t>task1b/paradigm.md</w:t>
      </w:r>
      <w:r>
        <w:t xml:space="preserve">, </w:t>
      </w:r>
      <w:r>
        <w:rPr>
          <w:rFonts w:ascii="Courier New" w:hAnsi="Courier New"/>
        </w:rPr>
        <w:t>task1a/questions.md</w:t>
      </w:r>
      <w:r>
        <w:t xml:space="preserve">. Навигация — </w:t>
      </w:r>
      <w:r>
        <w:rPr>
          <w:rFonts w:ascii="Courier New" w:hAnsi="Courier New"/>
        </w:rPr>
        <w:t>README.md</w:t>
      </w:r>
      <w:r>
        <w:t>.</w:t>
      </w:r>
    </w:p>
    <w:p>
      <w:pPr>
        <w:pStyle w:val="Heading2"/>
      </w:pPr>
      <w:r>
        <w:t>2. Как я работал</w:t>
      </w:r>
    </w:p>
    <w:p>
      <w:r>
        <w:t xml:space="preserve">Сеть была почти закрыта (только поиск и GitHub) — ресерч по поисковым сводкам и памяти. Главный инструмент — </w:t>
      </w:r>
      <w:r>
        <w:rPr>
          <w:b/>
        </w:rPr>
        <w:t>эксперименты на «чистых» агентах</w:t>
      </w:r>
      <w:r>
        <w:t xml:space="preserve">: каждый вопрос давался отдельному агенту без контекста (Claude Haiku/Sonnet/Opus/Fable), всего ≈190 прогонов в шесть волн. Каждый результат затем прошёл через </w:t>
      </w:r>
      <w:r>
        <w:rPr>
          <w:b/>
        </w:rPr>
        <w:t>независимых агентов-критиков</w:t>
      </w:r>
      <w:r>
        <w:t xml:space="preserve"> (два раунда): их отчёты — в </w:t>
      </w:r>
      <w:r>
        <w:rPr>
          <w:rFonts w:ascii="Courier New" w:hAnsi="Courier New"/>
        </w:rPr>
        <w:t>experiments/critic_reviews.md</w:t>
      </w:r>
      <w:r>
        <w:t xml:space="preserve">, версии до правок — </w:t>
      </w:r>
      <w:r>
        <w:rPr>
          <w:rFonts w:ascii="Courier New" w:hAnsi="Courier New"/>
        </w:rPr>
        <w:t>*_v1_before_review.md</w:t>
      </w:r>
      <w:r>
        <w:t xml:space="preserve">. Метод «отжига» сохранён в </w:t>
      </w:r>
      <w:r>
        <w:rPr>
          <w:rFonts w:ascii="Courier New" w:hAnsi="Courier New"/>
        </w:rPr>
        <w:t>docs/stuck_method.md</w:t>
      </w:r>
      <w:r>
        <w:t xml:space="preserve"> и применён после первой (полностью «насыщенной») волны: карта неопределённости → смена поверхности атаки. </w:t>
      </w:r>
      <w:r>
        <w:rPr>
          <w:b/>
        </w:rPr>
        <w:t>GPT/Gemini протестировать было нельзя</w:t>
      </w:r>
      <w:r>
        <w:t xml:space="preserve"> — утром обязательно прогоните D1–D3 из </w:t>
      </w:r>
      <w:r>
        <w:rPr>
          <w:rFonts w:ascii="Courier New" w:hAnsi="Courier New"/>
        </w:rPr>
        <w:t>task1a</w:t>
      </w:r>
      <w:r>
        <w:t xml:space="preserve"> и примеры 1–2 из </w:t>
      </w:r>
      <w:r>
        <w:rPr>
          <w:rFonts w:ascii="Courier New" w:hAnsi="Courier New"/>
        </w:rPr>
        <w:t>task1b</w:t>
      </w:r>
      <w:r>
        <w:t xml:space="preserve"> в бесплатных ChatGPT/Gemini (менторы просят именно это) и впишите результаты в таблицы «Evidence».</w:t>
      </w:r>
    </w:p>
    <w:p>
      <w:pPr>
        <w:pStyle w:val="Heading2"/>
      </w:pPr>
      <w:r>
        <w:t>3. Что получилось — по частям</w:t>
      </w:r>
    </w:p>
    <w:p>
      <w:pPr>
        <w:pStyle w:val="Heading3"/>
      </w:pPr>
      <w:r>
        <w:t>Task 2 (самая сильная часть; после вашей вычитки — подавать)</w:t>
      </w:r>
    </w:p>
    <w:p>
      <w:r/>
      <w:r>
        <w:rPr>
          <w:b/>
        </w:rPr>
        <w:t>Аргумент 1 (спешка).</w:t>
      </w:r>
      <w:r>
        <w:t xml:space="preserve"> Одна проблема: мысленный эксперимент сравнивает не «время сейчас» с «временем потом», а два </w:t>
      </w:r>
      <w:r>
        <w:rPr>
          <w:i/>
        </w:rPr>
        <w:t>вида деятельности</w:t>
      </w:r>
      <w:r>
        <w:t xml:space="preserve"> — «завербовать эквивалент целой жизни за 2 года» и «прямую работу». Оговорка «не хуже тебя» делает всю работу и симметрична во времени: та же конструкция «доказывает», что годы 20–22 (или 40–42) ценнее всего, что после них — но лишь в смысле «целое ≥ части», а не «единица ресурса сейчас ценнее той же единицы потом». Плюс: оговорка — слабое неравенство («не меньше»), из которого нельзя получить «vastly». Единственное, что остаётся автору, — линейный эффект горизонта (~в 2 раза за 20 лет), который есть у любой долгосрочной инвестиции и на который текст не опирается. Три модели независимо на прямой вопрос дали тот же диагноз, что подтверждает, что критика не идиосинкразична (но и не гарантирует «неочевидность» — это для Task 2 не требуется).</w:t>
      </w:r>
    </w:p>
    <w:p>
      <w:r/>
      <w:r>
        <w:rPr>
          <w:b/>
        </w:rPr>
        <w:t>Аргумент 2 (BAC).</w:t>
      </w:r>
      <w:r>
        <w:t xml:space="preserve"> Одна проблема: центральное утверждение «BAC изоморфен многопользовательскому Stag Hunt (3p против 1)» ложно при собственных выплатах explainer'а. Цена BAC </w:t>
      </w:r>
      <w:r>
        <w:rPr>
          <w:i/>
        </w:rPr>
        <w:t>условна</w:t>
      </w:r>
      <w:r>
        <w:t xml:space="preserve"> (платишь $1/N только BAC-детям), поэтому BAC = 3p + (1−p) = </w:t>
      </w:r>
      <w:r>
        <w:rPr>
          <w:b/>
        </w:rPr>
        <w:t>1 + 2p ≥ 1</w:t>
      </w:r>
      <w:r>
        <w:t xml:space="preserve"> = Take: слабое доминирование, риска нет, порога 1/3 нет, разговоры о salience и риске неприменимы. Общее условие: BAC выгоден, когда 3·P(родитель BAC) &gt; доля награждённых детей; explainer ставит справа 1, слева p. Разобран и лучший ответ защитника: если все дети — листья (вакуумно «следуют BAC»), родитель платит полный $1 — но тогда BAC на этом уровне </w:t>
      </w:r>
      <w:r>
        <w:rPr>
          <w:i/>
        </w:rPr>
        <w:t>и есть</w:t>
      </w:r>
      <w:r>
        <w:t xml:space="preserve"> отвергнутая наивная политика; порог 1/3 возвращается ровно там, где условность пуста. Вывод смягчён по совету критика: рушится не рациональность BAC, а объяснение «почему и когда» (порог, зависимость от salience, перенос из Stag Hunt).</w:t>
      </w:r>
    </w:p>
    <w:p>
      <w:pPr>
        <w:pStyle w:val="Heading3"/>
      </w:pPr>
      <w:r>
        <w:t>Task 1b (вторая по силе; главная находка ночи)</w:t>
      </w:r>
    </w:p>
    <w:p>
      <w:r>
        <w:t xml:space="preserve">Парадигма </w:t>
      </w:r>
      <w:r>
        <w:rPr>
          <w:b/>
        </w:rPr>
        <w:t>«Embedded False Frames» (встроенные ложные рамки)</w:t>
      </w:r>
      <w:r>
        <w:t xml:space="preserve">. Берём правдоподобную, </w:t>
      </w:r>
      <w:r>
        <w:rPr>
          <w:i/>
        </w:rPr>
        <w:t>нехрестоматийную</w:t>
      </w:r>
      <w:r>
        <w:t xml:space="preserve"> ложную редукцию задачи к известной модели (как BAC→Stag Hunt). При прямом вопросе «есть ли проблема?» модели её находят. Но если ту же редукцию </w:t>
      </w:r>
      <w:r>
        <w:rPr>
          <w:i/>
        </w:rPr>
        <w:t>утвердить в условии</w:t>
      </w:r>
      <w:r>
        <w:t xml:space="preserve"> и попросить </w:t>
      </w:r>
      <w:r>
        <w:rPr>
          <w:i/>
        </w:rPr>
        <w:t>посчитать</w:t>
      </w:r>
      <w:r>
        <w:t xml:space="preserve"> то, что имеет смысл только при её истинности (долю, ставку дисконтирования), с общей лазейкой «ответьте FALSE PREMISE», — модели считают внутри ложной рамки. Ключевые данные (с лазейкой): «сеть поставщиков ≅ Stag Hunt» — </w:t>
      </w:r>
      <w:r>
        <w:rPr>
          <w:b/>
        </w:rPr>
        <w:t>Sonnet 0/4, Opus 1/4, Fable 3/4 верных</w:t>
      </w:r>
      <w:r>
        <w:t xml:space="preserve">; без лазейки все три ошиблись; «спешка ⇒ ставка дисконтирования r≈0.35» — все три посчитали в 6 из 6 прогонов (в двух формулировках), хотя напрямую все отвергли аргумент. </w:t>
      </w:r>
      <w:r>
        <w:rPr>
          <w:b/>
        </w:rPr>
        <w:t>Абляции</w:t>
      </w:r>
      <w:r>
        <w:t xml:space="preserve"> (по требованию критика): явная инструкция «проверь посылки», симметричная обёртка «в анализе может быть ошибка», лазейка, называющая альтернативный вывод, или </w:t>
      </w:r>
      <w:r>
        <w:rPr>
          <w:i/>
        </w:rPr>
        <w:t>оценочный</w:t>
      </w:r>
      <w:r>
        <w:t xml:space="preserve"> формат A/B/C — включают проверку у Opus/Fable, но не у Sonnet; валидный двойник (настоящий Stag Hunt с фиксированным взносом) все считают верно. На хрестоматийных ошибках (counterfactual mugging, public goods, FairBot, RLHF≅debate) рамку отвергают все. </w:t>
      </w:r>
      <w:r>
        <w:rPr>
          <w:b/>
        </w:rPr>
        <w:t>Тезис</w:t>
      </w:r>
      <w:r>
        <w:t xml:space="preserve">: модели </w:t>
      </w:r>
      <w:r>
        <w:rPr>
          <w:i/>
        </w:rPr>
        <w:t>владеют</w:t>
      </w:r>
      <w:r>
        <w:t xml:space="preserve"> нужным выводом, но по умолчанию не запускают его, если рамка утверждена и нужен только расчёт; парадигма измеряет </w:t>
      </w:r>
      <w:r>
        <w:rPr>
          <w:i/>
        </w:rPr>
        <w:t>непрошеную</w:t>
      </w:r>
      <w:r>
        <w:t xml:space="preserve"> проверку — то, что нужно от модели-соавтора, а не от модели-грейдера, — и даёт новый тип constraint'а (инвариантность вердикта к способу подачи), пригодный как обучающий сигнал без экспертной разметки. Честно указано: связь с литературой о ложных посылках и sycophancy, малые n, только Claude, чувствительность к формулировке (она и есть результат).</w:t>
      </w:r>
    </w:p>
    <w:p>
      <w:pPr>
        <w:pStyle w:val="Heading3"/>
      </w:pPr>
      <w:r>
        <w:t>Task 1a (слабее; всё честно написано в документе)</w:t>
      </w:r>
    </w:p>
    <w:p>
      <w:r>
        <w:t>DTBench-стиль насыщен: 27/27 ячеек первой волны и вся вторая волна решены. Под честной формулировкой ни один пункт не роняет Fable; D1 (CDT при 50% «я — симуляция», верно one-box) проваливает Haiku, а Sonnet — только со «слоганом» в дистракторе (нейтральная версия — 3/3 верно); D2 (встроенная рамка, см. выше) проваливают Sonnet и Opus, Fable — без лазейки; D3 (эффект отбора «родитель — случайный агент») проваливает Sonnet. Контроль «анропический Fauxcomb» (симуляция каузально инертна) все решают верно. Документ прямо ссылается на пункт о снисхождении к бесплатным моделям.</w:t>
      </w:r>
    </w:p>
    <w:p>
      <w:pPr>
        <w:pStyle w:val="Heading2"/>
      </w:pPr>
      <w:r>
        <w:t>4. Что сделать утром (2 часа)</w:t>
      </w:r>
    </w:p>
    <w:p>
      <w:pPr>
        <w:pStyle w:val="ListNumber"/>
      </w:pPr>
      <w:r>
        <w:t>Прогнать D1, D2, D3 и пример 2 (assertion-форма) в бесплатных ChatGPT/Gemini; вписать в таблицы.</w:t>
      </w:r>
    </w:p>
    <w:p>
      <w:pPr>
        <w:pStyle w:val="ListNumber"/>
      </w:pPr>
      <w:r>
        <w:t xml:space="preserve">Прочитать обе критики (≈1000–1200 слов каждая) и </w:t>
      </w:r>
      <w:r>
        <w:rPr>
          <w:rFonts w:ascii="Courier New" w:hAnsi="Courier New"/>
        </w:rPr>
        <w:t>experiments/critic_reviews.md</w:t>
      </w:r>
      <w:r>
        <w:t>; при желании подрезать BAC-критику до 1.5 стр.</w:t>
      </w:r>
    </w:p>
    <w:p>
      <w:pPr>
        <w:pStyle w:val="ListNumber"/>
      </w:pPr>
      <w:r>
        <w:t xml:space="preserve">Выбор для Task 1: подавать </w:t>
      </w:r>
      <w:r>
        <w:rPr>
          <w:b/>
        </w:rPr>
        <w:t>1b</w:t>
      </w:r>
      <w:r>
        <w:t xml:space="preserve"> как основное, 1a — как приложение (правила допускают одно из двух).</w:t>
      </w:r>
    </w:p>
    <w:p>
      <w:pPr>
        <w:pStyle w:val="ListNumber"/>
      </w:pPr>
      <w:r>
        <w:t>Перенести в Google Doc: Task 1b, Task 2 (две критики + supplementary), при желании Task 1a.</w:t>
      </w:r>
    </w:p>
    <w:p>
      <w:pPr>
        <w:pStyle w:val="Heading2"/>
      </w:pPr>
      <w:r>
        <w:t>5. Оговорки</w:t>
      </w:r>
    </w:p>
    <w:p>
      <w:r>
        <w:t>Только линейка Claude, 1–4 прогона на ячейку, разметка моя (без слепого грейдинга). Ссылки в research/README.md из среды не открывались — проверьте перед цитированием. Все ключевые числа перепроверены вручную и независимыми агентами.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