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800" w:after="0"/>
        <w:jc w:val="center"/>
      </w:pPr>
      <w:r>
        <w:rPr>
          <w:rFonts w:ascii="Times New Roman" w:hAnsi="Times New Roman" w:eastAsia="黑体"/>
          <w:b/>
          <w:color w:val="000000"/>
          <w:sz w:val="44"/>
        </w:rPr>
        <w:t>2026年第七届</w:t>
      </w:r>
    </w:p>
    <w:p>
      <w:pPr>
        <w:spacing w:line="360" w:lineRule="auto" w:before="120" w:after="1200"/>
        <w:jc w:val="center"/>
      </w:pPr>
      <w:r>
        <w:rPr>
          <w:rFonts w:ascii="Times New Roman" w:hAnsi="Times New Roman" w:eastAsia="黑体"/>
          <w:b/>
          <w:color w:val="000000"/>
          <w:sz w:val="44"/>
        </w:rPr>
        <w:t>辽宁省大学生农业经济建模大赛</w:t>
      </w:r>
    </w:p>
    <w:p>
      <w:pPr>
        <w:spacing w:line="360" w:lineRule="auto" w:before="200" w:after="0"/>
        <w:ind w:left="1134"/>
        <w:jc w:val="left"/>
      </w:pPr>
      <w:r>
        <w:rPr>
          <w:rFonts w:ascii="Times New Roman" w:hAnsi="Times New Roman" w:eastAsia="宋体"/>
          <w:b w:val="0"/>
          <w:color w:val="000000"/>
          <w:sz w:val="28"/>
        </w:rPr>
        <w:t>参赛类别：大数据应用类</w:t>
      </w:r>
    </w:p>
    <w:p>
      <w:pPr>
        <w:spacing w:line="360" w:lineRule="auto" w:before="200" w:after="0"/>
        <w:ind w:left="1134"/>
        <w:jc w:val="left"/>
      </w:pPr>
      <w:r>
        <w:rPr>
          <w:rFonts w:ascii="Times New Roman" w:hAnsi="Times New Roman" w:eastAsia="宋体"/>
          <w:b w:val="0"/>
          <w:color w:val="000000"/>
          <w:sz w:val="28"/>
        </w:rPr>
        <w:t>学　　校：</w:t>
      </w:r>
    </w:p>
    <w:p>
      <w:pPr>
        <w:spacing w:line="360" w:lineRule="auto" w:before="200" w:after="0"/>
        <w:ind w:left="1134"/>
        <w:jc w:val="left"/>
      </w:pPr>
      <w:r>
        <w:rPr>
          <w:rFonts w:ascii="Times New Roman" w:hAnsi="Times New Roman" w:eastAsia="宋体"/>
          <w:b w:val="0"/>
          <w:color w:val="000000"/>
          <w:sz w:val="28"/>
        </w:rPr>
        <w:t>指导教师：</w:t>
      </w:r>
    </w:p>
    <w:p>
      <w:pPr>
        <w:spacing w:line="360" w:lineRule="auto" w:before="200" w:after="0"/>
        <w:ind w:left="1134"/>
        <w:jc w:val="left"/>
      </w:pPr>
      <w:r>
        <w:rPr>
          <w:rFonts w:ascii="Times New Roman" w:hAnsi="Times New Roman" w:eastAsia="宋体"/>
          <w:b w:val="0"/>
          <w:color w:val="000000"/>
          <w:sz w:val="28"/>
        </w:rPr>
        <w:t>队员姓名：</w:t>
      </w:r>
    </w:p>
    <w:p>
      <w:pPr>
        <w:spacing w:line="360" w:lineRule="auto" w:before="200" w:after="0"/>
        <w:ind w:left="1134"/>
        <w:jc w:val="left"/>
      </w:pPr>
      <w:r>
        <w:rPr>
          <w:rFonts w:ascii="Times New Roman" w:hAnsi="Times New Roman" w:eastAsia="宋体"/>
          <w:b w:val="0"/>
          <w:color w:val="000000"/>
          <w:sz w:val="28"/>
        </w:rPr>
        <w:t>队员姓名：</w:t>
      </w:r>
    </w:p>
    <w:p>
      <w:pPr>
        <w:spacing w:line="360" w:lineRule="auto" w:before="200" w:after="0"/>
        <w:ind w:left="1134"/>
        <w:jc w:val="left"/>
      </w:pPr>
      <w:r>
        <w:rPr>
          <w:rFonts w:ascii="Times New Roman" w:hAnsi="Times New Roman" w:eastAsia="宋体"/>
          <w:b w:val="0"/>
          <w:color w:val="000000"/>
          <w:sz w:val="28"/>
        </w:rPr>
        <w:t>队员姓名：</w:t>
      </w:r>
    </w:p>
    <w:p>
      <w:pPr>
        <w:spacing w:line="360" w:lineRule="auto" w:before="200" w:after="0"/>
        <w:ind w:left="1134"/>
        <w:jc w:val="left"/>
      </w:pPr>
      <w:r>
        <w:rPr>
          <w:rFonts w:ascii="Times New Roman" w:hAnsi="Times New Roman" w:eastAsia="宋体"/>
          <w:b w:val="0"/>
          <w:color w:val="000000"/>
          <w:sz w:val="28"/>
        </w:rPr>
        <w:t>队员姓名：</w:t>
      </w:r>
    </w:p>
    <w:p>
      <w:pPr>
        <w:spacing w:line="360" w:lineRule="auto" w:before="200" w:after="0"/>
        <w:ind w:left="1134"/>
        <w:jc w:val="left"/>
      </w:pPr>
      <w:r>
        <w:rPr>
          <w:rFonts w:ascii="Times New Roman" w:hAnsi="Times New Roman" w:eastAsia="宋体"/>
          <w:b w:val="0"/>
          <w:color w:val="000000"/>
          <w:sz w:val="28"/>
        </w:rPr>
        <w:t>队员姓名：</w:t>
      </w:r>
    </w:p>
    <w:p>
      <w:pPr>
        <w:spacing w:line="300" w:lineRule="auto" w:before="600" w:after="0"/>
        <w:ind w:left="1134"/>
        <w:jc w:val="left"/>
      </w:pPr>
      <w:r>
        <w:rPr>
          <w:rFonts w:ascii="Times New Roman" w:hAnsi="Times New Roman" w:eastAsia="宋体"/>
          <w:b w:val="0"/>
          <w:color w:val="000000"/>
          <w:sz w:val="21"/>
        </w:rPr>
        <w:t>（说明：参赛类别按本科生组四个类别填写；学校、指导教师、队员姓名由参赛队填写）</w:t>
      </w:r>
    </w:p>
    <w:p>
      <w:pPr>
        <w:sectPr>
          <w:pgSz w:w="11906" w:h="16838"/>
          <w:pgMar w:top="1440" w:right="1797" w:bottom="1440" w:left="1797" w:header="720" w:footer="720" w:gutter="0"/>
          <w:cols w:space="720"/>
          <w:docGrid w:linePitch="360"/>
        </w:sectPr>
      </w:pPr>
    </w:p>
    <w:p>
      <w:pPr>
        <w:spacing w:line="300" w:lineRule="auto" w:before="0" w:after="200"/>
        <w:jc w:val="center"/>
      </w:pPr>
      <w:r>
        <w:rPr>
          <w:rFonts w:ascii="Times New Roman" w:hAnsi="Times New Roman" w:eastAsia="黑体"/>
          <w:b/>
          <w:color w:val="000000"/>
          <w:sz w:val="28"/>
        </w:rPr>
        <w:t>目　　录</w:t>
      </w:r>
    </w:p>
    <w:p>
      <w:pPr>
        <w:spacing w:line="300" w:lineRule="auto" w:before="80"/>
      </w:pPr>
      <w:r>
        <w:fldChar w:fldCharType="begin" w:dirty="true"/>
        <w:instrText xml:space="preserve">TOC \o "1-3" \h \z \u</w:instrText>
        <w:fldChar w:fldCharType="separate"/>
        <w:t>（Word 打开时自动更新）</w:t>
        <w:fldChar w:fldCharType="end"/>
      </w:r>
    </w:p>
    <w:p>
      <w:r>
        <w:br w:type="page"/>
      </w:r>
    </w:p>
    <w:p>
      <w:pPr>
        <w:spacing w:line="300" w:lineRule="auto" w:before="0" w:after="200"/>
        <w:jc w:val="center"/>
      </w:pPr>
      <w:r>
        <w:rPr>
          <w:rFonts w:ascii="Times New Roman" w:hAnsi="Times New Roman" w:eastAsia="黑体"/>
          <w:b/>
          <w:color w:val="000000"/>
          <w:sz w:val="28"/>
        </w:rPr>
        <w:t>表格和插图清单</w:t>
      </w:r>
    </w:p>
    <w:p>
      <w:pPr>
        <w:spacing w:line="300" w:lineRule="auto" w:before="120" w:after="40"/>
        <w:jc w:val="left"/>
      </w:pPr>
      <w:r>
        <w:rPr>
          <w:rFonts w:ascii="Times New Roman" w:hAnsi="Times New Roman" w:eastAsia="黑体"/>
          <w:b/>
          <w:color w:val="000000"/>
          <w:sz w:val="24"/>
        </w:rPr>
        <w:t>一、插图清单</w:t>
      </w:r>
    </w:p>
    <w:p>
      <w:pPr>
        <w:spacing w:line="300" w:lineRule="auto" w:before="80"/>
      </w:pPr>
      <w:r>
        <w:fldChar w:fldCharType="begin" w:dirty="true"/>
        <w:instrText xml:space="preserve">TOC \h \z \c "图"</w:instrText>
        <w:fldChar w:fldCharType="separate"/>
        <w:t>（Word 打开时自动更新）</w:t>
        <w:fldChar w:fldCharType="end"/>
      </w:r>
    </w:p>
    <w:p>
      <w:pPr>
        <w:spacing w:line="300" w:lineRule="auto" w:before="200" w:after="40"/>
        <w:jc w:val="left"/>
      </w:pPr>
      <w:r>
        <w:rPr>
          <w:rFonts w:ascii="Times New Roman" w:hAnsi="Times New Roman" w:eastAsia="黑体"/>
          <w:b/>
          <w:color w:val="000000"/>
          <w:sz w:val="24"/>
        </w:rPr>
        <w:t>二、表格清单</w:t>
      </w:r>
    </w:p>
    <w:p>
      <w:pPr>
        <w:spacing w:line="300" w:lineRule="auto" w:before="80"/>
      </w:pPr>
      <w:r>
        <w:fldChar w:fldCharType="begin" w:dirty="true"/>
        <w:instrText xml:space="preserve">TOC \h \z \c "表"</w:instrText>
        <w:fldChar w:fldCharType="separate"/>
        <w:t>（Word 打开时自动更新）</w:t>
        <w:fldChar w:fldCharType="end"/>
      </w:r>
    </w:p>
    <w:p>
      <w:r>
        <w:br w:type="page"/>
      </w:r>
    </w:p>
    <w:p>
      <w:pPr>
        <w:spacing w:line="240" w:lineRule="auto" w:before="0" w:after="80"/>
        <w:jc w:val="center"/>
      </w:pPr>
      <w:r>
        <w:rPr>
          <w:rFonts w:ascii="Times New Roman" w:hAnsi="Times New Roman" w:eastAsia="宋体"/>
          <w:b/>
          <w:color w:val="000000"/>
          <w:sz w:val="32"/>
        </w:rPr>
        <w:t>面向跟风种植风险的蔬菜市场决策策略研究</w:t>
      </w:r>
    </w:p>
    <w:p>
      <w:pPr>
        <w:pStyle w:val="Heading1"/>
        <w:spacing w:line="300" w:lineRule="auto" w:before="240" w:after="120"/>
        <w:jc w:val="left"/>
      </w:pPr>
      <w:r>
        <w:rPr>
          <w:rFonts w:ascii="Times New Roman" w:hAnsi="Times New Roman" w:eastAsia="黑体"/>
          <w:b/>
          <w:color w:val="000000"/>
          <w:sz w:val="30"/>
        </w:rPr>
        <w:t>——基于沈阳市十种蔬菜价格的滚动回测</w:t>
      </w:r>
    </w:p>
    <w:p>
      <w:pPr>
        <w:pStyle w:val="Heading1"/>
        <w:spacing w:line="300" w:lineRule="auto" w:before="240" w:after="120"/>
        <w:jc w:val="center"/>
      </w:pPr>
      <w:r>
        <w:rPr>
          <w:rFonts w:ascii="Times New Roman" w:hAnsi="Times New Roman" w:eastAsia="黑体"/>
          <w:b/>
          <w:color w:val="000000"/>
          <w:sz w:val="28"/>
        </w:rPr>
        <w:t>摘要</w:t>
      </w:r>
    </w:p>
    <w:p>
      <w:pPr>
        <w:spacing w:line="300" w:lineRule="auto" w:before="80" w:after="0"/>
        <w:jc w:val="left"/>
      </w:pPr>
      <w:r>
        <w:rPr>
          <w:rFonts w:ascii="Times New Roman" w:hAnsi="Times New Roman" w:eastAsia="宋体"/>
          <w:b/>
          <w:color w:val="000000"/>
          <w:sz w:val="24"/>
        </w:rPr>
        <w:t>目的</w:t>
      </w:r>
      <w:r>
        <w:rPr>
          <w:rFonts w:ascii="Times New Roman" w:hAnsi="Times New Roman" w:eastAsia="宋体"/>
          <w:b w:val="0"/>
          <w:color w:val="000000"/>
          <w:sz w:val="24"/>
        </w:rPr>
        <w:t xml:space="preserve">　蔬菜价格的剧烈波动既影响居民食品支出，也构成生产者收益的不确定性来源。当某一蔬菜价格持续走高时，扩大该品种种植或推迟上市是生产者的常见反应；若这种反应在生产者之间普遍出现，未来的供给增加又会压低价格，形成"跟风种植风险"。本文以沈阳市十种主要蔬菜的日度批发价格为对象，回答三个问题：价格是否存在稳定的季节结构？在时间信息严格受限的条件下，价格预测能带来多大程度的改进？在识别出追高风险环境之后，基于预测与风险的策略能否优于朴素基准，又能否显著优于简单策略？</w:t>
      </w:r>
    </w:p>
    <w:p>
      <w:pPr>
        <w:spacing w:line="300" w:lineRule="auto" w:before="80" w:after="0"/>
        <w:jc w:val="left"/>
      </w:pPr>
      <w:r>
        <w:rPr>
          <w:rFonts w:ascii="Times New Roman" w:hAnsi="Times New Roman" w:eastAsia="宋体"/>
          <w:b/>
          <w:color w:val="000000"/>
          <w:sz w:val="24"/>
        </w:rPr>
        <w:t>方法</w:t>
      </w:r>
      <w:r>
        <w:rPr>
          <w:rFonts w:ascii="Times New Roman" w:hAnsi="Times New Roman" w:eastAsia="宋体"/>
          <w:b w:val="0"/>
          <w:color w:val="000000"/>
          <w:sz w:val="24"/>
        </w:rPr>
        <w:t xml:space="preserve">　数据来自沈阳市发展和改革委员会菜篮子信息发布平台，覆盖 2021 年 1 月至 2026 年 10 月十种蔬菜共 14 270 条"品种—交易日"观测。研究以季节指数与稳健分解刻画时间结构；在 point-in-time 约束下构建 63 项特征，并用截断不变性检验验证无泄漏；采用扩张窗口滚动回测（测试折为 2024、2025、2026），在训练与测试两端对前瞻标签实施 purge/embargo，将 ElasticNet、ExtraTrees、CatBoost 与五类朴素基线置于同一候选池竞争；以过去信息合成"追高风险指数"（HRI）并检验其与未来收益的关系；将预测、风险与暴露度合成为七个策略，在 128 个（7 天步长）与 31 个（30 天步长）决策切点上做配对比较，推断使用循环块 Bootstrap 与 Newey-West/HAC，并施加 Bonferroni 与 BH-FDR 多重比较校正。</w:t>
      </w:r>
    </w:p>
    <w:p>
      <w:pPr>
        <w:spacing w:line="300" w:lineRule="auto" w:before="80" w:after="0"/>
        <w:jc w:val="left"/>
      </w:pPr>
      <w:r>
        <w:rPr>
          <w:rFonts w:ascii="Times New Roman" w:hAnsi="Times New Roman" w:eastAsia="宋体"/>
          <w:b/>
          <w:color w:val="000000"/>
          <w:sz w:val="24"/>
        </w:rPr>
        <w:t>结果</w:t>
      </w:r>
      <w:r>
        <w:rPr>
          <w:rFonts w:ascii="Times New Roman" w:hAnsi="Times New Roman" w:eastAsia="宋体"/>
          <w:b w:val="0"/>
          <w:color w:val="000000"/>
          <w:sz w:val="24"/>
        </w:rPr>
        <w:t xml:space="preserve">　十种蔬菜价格季节指数极差的中位数为 0.775，季节性明显，成交量的季节波动则有限（0.084）；20 项趋势检验中 8 项经校正后显著。价格预测方面，在同折选择口径下十种蔬菜有 7 种优于朴素基线，WAPE 相对改善 2.7%—24.0%；当模型选择改为只用严格更早的折时，20 条"品种—折"记录中仅 9 条仍优于基线，平均相对改善转为 −3.99%，排除调参模型后为 −7.47%。追高风险指数与未来 12 周收益呈方向一致的负向关联，普通双侧检验 9/10 显著，多重比较校正后为 5/10，非重叠抽样检验在 12 周窗口未能给出有效结果。策略方面，128 个 7 天切点上有四个策略经保守校正后仍显著优于均匀随机基准（+6.7%—+10.7%），31 个不重叠切点上无任何策略达到同一标准；四组重点配对比较（相对收益策略与风险平衡策略分别减去季节策略与最小尾部风险策略）全部不显著（p 介于 0.08—0.97），符号在两种切点口径之间翻转。"买最贵"策略在 7 天口径下显著为负，追涨策略方向一致为负但未达显著。</w:t>
      </w:r>
    </w:p>
    <w:p>
      <w:pPr>
        <w:spacing w:line="300" w:lineRule="auto" w:before="80" w:after="0"/>
        <w:jc w:val="left"/>
      </w:pPr>
      <w:r>
        <w:rPr>
          <w:rFonts w:ascii="Times New Roman" w:hAnsi="Times New Roman" w:eastAsia="宋体"/>
          <w:b/>
          <w:color w:val="000000"/>
          <w:sz w:val="24"/>
        </w:rPr>
        <w:t>结论</w:t>
      </w:r>
      <w:r>
        <w:rPr>
          <w:rFonts w:ascii="Times New Roman" w:hAnsi="Times New Roman" w:eastAsia="宋体"/>
          <w:b w:val="0"/>
          <w:color w:val="000000"/>
          <w:sz w:val="24"/>
        </w:rPr>
        <w:t xml:space="preserve">　沈阳蔬菜市场存在明显的季节规律与有限的价格可预测性，"追高"更接近风险而非机会。本文证据不支持"复杂预测策略优于简单策略"这一命题：相对收益口径下的预测在密集切点口径上具有市场机会价值，但该价值在不重叠样本上无法得到统计支持，也无法与不需模型的季节规则区分开。以上收益指标均为市场价格窗口的相对变化，不含成本与亩产，不构成农户经营利润的估计；本文亦未观测农户扩种决策，故不能识别真实的跟风种植行为，追高风险指数不是跟风概率。</w:t>
      </w:r>
    </w:p>
    <w:p>
      <w:pPr>
        <w:spacing w:line="300" w:lineRule="auto" w:before="80" w:after="0"/>
        <w:jc w:val="left"/>
      </w:pPr>
      <w:r>
        <w:rPr>
          <w:rFonts w:ascii="Times New Roman" w:hAnsi="Times New Roman" w:eastAsia="宋体"/>
          <w:b/>
          <w:color w:val="000000"/>
          <w:sz w:val="24"/>
        </w:rPr>
        <w:t>关键词</w:t>
      </w:r>
      <w:r>
        <w:rPr>
          <w:rFonts w:ascii="Times New Roman" w:hAnsi="Times New Roman" w:eastAsia="宋体"/>
          <w:b w:val="0"/>
          <w:color w:val="000000"/>
          <w:sz w:val="24"/>
        </w:rPr>
        <w:t>：蔬菜价格波动；跟风种植风险；追高风险环境；滚动回测；多重比较校正</w:t>
      </w:r>
    </w:p>
    <w:p>
      <w:pPr>
        <w:pStyle w:val="Heading1"/>
        <w:spacing w:line="300" w:lineRule="auto" w:before="240" w:after="120"/>
        <w:jc w:val="center"/>
      </w:pPr>
      <w:r>
        <w:rPr>
          <w:rFonts w:ascii="Times New Roman" w:hAnsi="Times New Roman" w:eastAsia="黑体"/>
          <w:b/>
          <w:color w:val="000000"/>
          <w:sz w:val="28"/>
        </w:rPr>
        <w:t>Abstract</w:t>
      </w:r>
    </w:p>
    <w:p>
      <w:pPr>
        <w:spacing w:line="300" w:lineRule="auto" w:before="80" w:after="0"/>
        <w:jc w:val="left"/>
      </w:pPr>
      <w:r>
        <w:rPr>
          <w:rFonts w:ascii="Times New Roman" w:hAnsi="Times New Roman" w:eastAsia="宋体"/>
          <w:b/>
          <w:color w:val="000000"/>
          <w:sz w:val="24"/>
        </w:rPr>
        <w:t>Purpose</w:t>
      </w:r>
      <w:r>
        <w:rPr>
          <w:rFonts w:ascii="Times New Roman" w:hAnsi="Times New Roman" w:eastAsia="宋体"/>
          <w:b w:val="0"/>
          <w:color w:val="000000"/>
          <w:sz w:val="24"/>
        </w:rPr>
        <w:t xml:space="preserve"> Sharp vegetable-price fluctuations affect household food expenditure and constitute a source of income uncertainty for producers. When the price of one vegetable keeps rising, expanding its planting area or delaying sales is a common producer response; if such responses become widespread, the resulting increase in future supply pushes prices down again, producing a "herding-planting risk". Using daily wholesale prices of ten vegetables in Shenyang, this paper asks three questions: is there a stable seasonal structure? How much improvement in price forecasting is attainable when time information is strictly constrained? And, once a herding-risk environment is identified, can forecast- and risk-based strategies beat a naive benchmark—and can they significantly beat simple strategies?</w:t>
      </w:r>
    </w:p>
    <w:p>
      <w:pPr>
        <w:spacing w:line="300" w:lineRule="auto" w:before="80" w:after="0"/>
        <w:jc w:val="left"/>
      </w:pPr>
      <w:r>
        <w:rPr>
          <w:rFonts w:ascii="Times New Roman" w:hAnsi="Times New Roman" w:eastAsia="宋体"/>
          <w:b/>
          <w:color w:val="000000"/>
          <w:sz w:val="24"/>
        </w:rPr>
        <w:t>Methods</w:t>
      </w:r>
      <w:r>
        <w:rPr>
          <w:rFonts w:ascii="Times New Roman" w:hAnsi="Times New Roman" w:eastAsia="宋体"/>
          <w:b w:val="0"/>
          <w:color w:val="000000"/>
          <w:sz w:val="24"/>
        </w:rPr>
        <w:t xml:space="preserve"> The data come from the Vegetable Basket information platform of the Shenyang Municipal Development and Reform Commission, covering 14,270 crop–trading-day observations for ten vegetables from January 2021 to October 2026. The study characterises the time structure with seasonal indices and robust decomposition; builds 63 strictly point-in-time features validated by a truncation-invariance leakage test; runs an expanding-window rolling backtest (test folds 2024, 2025 and 2026) with purge/embargo applied to forward-looking labels on both the training and the test side, letting ElasticNet, ExtraTrees and CatBoost compete with five naive baselines in a single pool; constructs a Herding-Risk Index (HRI) from past information only and tests it against future returns; and forms seven strategies compared pairwise over 128 (7-day step) and 31 (30-day step) decision cutoffs, with inference based on circular block bootstrap and Newey–West/HAC, and Bonferroni and BH-FDR corrections for multiple testing.</w:t>
      </w:r>
    </w:p>
    <w:p>
      <w:pPr>
        <w:spacing w:line="300" w:lineRule="auto" w:before="80" w:after="0"/>
        <w:jc w:val="left"/>
      </w:pPr>
      <w:r>
        <w:rPr>
          <w:rFonts w:ascii="Times New Roman" w:hAnsi="Times New Roman" w:eastAsia="宋体"/>
          <w:b/>
          <w:color w:val="000000"/>
          <w:sz w:val="24"/>
        </w:rPr>
        <w:t>Results</w:t>
      </w:r>
      <w:r>
        <w:rPr>
          <w:rFonts w:ascii="Times New Roman" w:hAnsi="Times New Roman" w:eastAsia="宋体"/>
          <w:b w:val="0"/>
          <w:color w:val="000000"/>
          <w:sz w:val="24"/>
        </w:rPr>
        <w:t xml:space="preserve"> The median seasonal-index range for prices is 0.775, indicating clear seasonality, while volume seasonality is limited (0.084); 8 of 20 trend tests remain significant after correction. On forecasting, 7 of 10 vegetables beat the naive baseline under same-fold selection, with relative WAPE improvements of 2.7%–24.0%; restricting model selection to strictly earlier folds leaves only 9 of 20 crop–fold records better than the baseline, with an average relative improvement of −3.99% (−7.47% after excluding all tuned models). The HRI is negatively associated with subsequent 12-week returns across crops: 9 of 10 crops are significant under ordinary two-sided tests, falling to 5 of 10 after multiple-testing correction, and the non-overlapping sampling test yields no valid result at the 12-week horizon. Four strategies remain significantly better than a uniform-random benchmark over the 128 seven-day cutoffs (+6.7% to +10.7%), but none meets the same standard over the 31 non-overlapping cutoffs; all four key paired comparisons are insignificant (p between 0.08 and 0.97) and change sign between cutoff schemes. The "buy the most expensive" strategy is significantly negative at the seven-day standard, and the momentum-chasing strategy is negative but not significant.</w:t>
      </w:r>
    </w:p>
    <w:p>
      <w:pPr>
        <w:spacing w:line="300" w:lineRule="auto" w:before="80" w:after="0"/>
        <w:jc w:val="left"/>
      </w:pPr>
      <w:r>
        <w:rPr>
          <w:rFonts w:ascii="Times New Roman" w:hAnsi="Times New Roman" w:eastAsia="宋体"/>
          <w:b/>
          <w:color w:val="000000"/>
          <w:sz w:val="24"/>
        </w:rPr>
        <w:t>Conclusion</w:t>
      </w:r>
      <w:r>
        <w:rPr>
          <w:rFonts w:ascii="Times New Roman" w:hAnsi="Times New Roman" w:eastAsia="宋体"/>
          <w:b w:val="0"/>
          <w:color w:val="000000"/>
          <w:sz w:val="24"/>
        </w:rPr>
        <w:t xml:space="preserve"> Shenyang's vegetable market exhibits clear seasonality and limited price predictability, and chasing the rise resembles a risk more than an opportunity. The evidence does not support the claim that complex forecast-based strategies outperform simple strategies: the relative-return signal carries market-opportunity value at the dense-cutoff standard, but this value cannot be confirmed on non-overlapping samples and cannot be separated statistically from a model-free seasonal rule. All returns are relative changes in market price windows and exclude costs and yields, so they are not estimates of farm operating profit. Farmers' expansion decisions are not observed, so actual herding behaviour cannot be identified and the HRI is not a herding probability.</w:t>
      </w:r>
    </w:p>
    <w:p>
      <w:pPr>
        <w:spacing w:line="300" w:lineRule="auto" w:before="80" w:after="0"/>
        <w:jc w:val="left"/>
      </w:pPr>
      <w:r>
        <w:rPr>
          <w:rFonts w:ascii="Times New Roman" w:hAnsi="Times New Roman" w:eastAsia="宋体"/>
          <w:b/>
          <w:color w:val="000000"/>
          <w:sz w:val="24"/>
        </w:rPr>
        <w:t>Keywords</w:t>
      </w:r>
      <w:r>
        <w:rPr>
          <w:rFonts w:ascii="Times New Roman" w:hAnsi="Times New Roman" w:eastAsia="宋体"/>
          <w:b w:val="0"/>
          <w:color w:val="000000"/>
          <w:sz w:val="24"/>
        </w:rPr>
        <w:t>: vegetable price volatility; herding-planting risk; herding-risk environment; rolling backtest; multiple-testing correction</w:t>
      </w:r>
    </w:p>
    <w:p>
      <w:pPr>
        <w:sectPr>
          <w:footerReference w:type="default" r:id="rId9"/>
          <w:pgSz w:w="11906" w:h="16838"/>
          <w:pgMar w:top="1440" w:right="1797" w:bottom="1440" w:left="1797" w:header="720" w:footer="720" w:gutter="0"/>
          <w:cols w:space="720"/>
          <w:docGrid w:linePitch="360"/>
        </w:sectPr>
      </w:pPr>
    </w:p>
    <w:p>
      <w:pPr>
        <w:pStyle w:val="Heading1"/>
        <w:spacing w:line="300" w:lineRule="auto" w:before="240" w:after="120"/>
        <w:jc w:val="left"/>
      </w:pPr>
      <w:r>
        <w:rPr>
          <w:rFonts w:ascii="Times New Roman" w:hAnsi="Times New Roman" w:eastAsia="黑体"/>
          <w:b/>
          <w:color w:val="000000"/>
          <w:sz w:val="30"/>
        </w:rPr>
        <w:t>一、引言</w:t>
      </w:r>
    </w:p>
    <w:p>
      <w:pPr>
        <w:pStyle w:val="Heading2"/>
        <w:spacing w:line="300" w:lineRule="auto" w:before="200" w:after="80"/>
      </w:pPr>
      <w:r>
        <w:rPr>
          <w:rFonts w:ascii="Times New Roman" w:hAnsi="Times New Roman" w:eastAsia="黑体"/>
          <w:b/>
          <w:color w:val="000000"/>
          <w:sz w:val="28"/>
        </w:rPr>
        <w:t>（一）研究背景</w:t>
      </w:r>
    </w:p>
    <w:p>
      <w:pPr>
        <w:spacing w:line="300" w:lineRule="auto" w:before="140" w:after="0"/>
        <w:ind w:firstLine="560"/>
        <w:jc w:val="left"/>
      </w:pPr>
      <w:r>
        <w:rPr>
          <w:rFonts w:ascii="Times New Roman" w:hAnsi="Times New Roman" w:eastAsia="宋体"/>
          <w:b w:val="0"/>
          <w:color w:val="000000"/>
          <w:sz w:val="28"/>
        </w:rPr>
        <w:t>辽宁省是重要的设施蔬菜与露地蔬菜产区，蔬菜生产带有鲜明的季节性与区域性。价格波动对两类主体的含义不同：对城市居民，它体现为食品支出；对生产者，它意味着机会与风险——当某蔬菜价格持续走高时，扩大种植或推迟上市是有吸引力的反应，而这种反应一旦普遍出现，未来的供给增加又会压低价格。对生产者而言，价格波动的实质影响是</w:t>
      </w:r>
      <w:r>
        <w:rPr>
          <w:rFonts w:ascii="Times New Roman" w:hAnsi="Times New Roman" w:eastAsia="宋体"/>
          <w:b/>
          <w:color w:val="000000"/>
          <w:sz w:val="28"/>
        </w:rPr>
        <w:t>收益不确定性与资源配置的错位</w:t>
      </w:r>
      <w:r>
        <w:rPr>
          <w:rFonts w:ascii="Times New Roman" w:hAnsi="Times New Roman" w:eastAsia="宋体"/>
          <w:b w:val="0"/>
          <w:color w:val="000000"/>
          <w:sz w:val="28"/>
        </w:rPr>
        <w:t>：在价格信号引导下作出的种植决策，可能到产品上市时才发现预期落空，而周期内的投入难以撤回。</w:t>
      </w:r>
    </w:p>
    <w:p>
      <w:pPr>
        <w:spacing w:line="300" w:lineRule="auto" w:before="140" w:after="0"/>
        <w:ind w:firstLine="560"/>
        <w:jc w:val="left"/>
      </w:pPr>
      <w:r>
        <w:rPr>
          <w:rFonts w:ascii="Times New Roman" w:hAnsi="Times New Roman" w:eastAsia="宋体"/>
          <w:b w:val="0"/>
          <w:color w:val="000000"/>
          <w:sz w:val="28"/>
        </w:rPr>
        <w:t>这种往复之所以难以依靠市场自身消除，根源在于供给对价格的反应存在时滞，以及生产者掌握的信息并不完全。蛛网理论指出，当本期供给由上一期价格决定时，农产品价格与产量可能出现收敛、稳定甚至发散的周期波动[1]；适应性预期理论进一步说明，生产者依据过去价格修正预期，在价格上行期容易形成偏乐观的生产计划[2]。两条线索共同指向一个可观察的对象：当某蔬菜价格处于高位且近期上涨较快时，市场是否更容易出现"追高"环境，而处于这种环境之后收益是否更低。</w:t>
      </w:r>
    </w:p>
    <w:p>
      <w:pPr>
        <w:spacing w:line="300" w:lineRule="auto" w:before="140" w:after="0"/>
        <w:ind w:firstLine="560"/>
        <w:jc w:val="left"/>
      </w:pPr>
      <w:r>
        <w:rPr>
          <w:rFonts w:ascii="Times New Roman" w:hAnsi="Times New Roman" w:eastAsia="宋体"/>
          <w:b w:val="0"/>
          <w:color w:val="000000"/>
          <w:sz w:val="28"/>
        </w:rPr>
        <w:t>近期关于农户价格反应的经验研究为上述机制提供了直接证据。闵师等基于西双版纳 612 户橡胶种植户的调查发现，预期价格上升时农户采取生产调整措施的比例为 53.92%，预期价格下降时仅为 29.58%，反应存在显著非对称性[3]。该研究对象是橡胶种植户而非蔬菜生产者，结论不能直接外推，但它说明价格上涨所引发的生产反应强度值得在蔬菜市场上单独检验。</w:t>
      </w:r>
    </w:p>
    <w:p>
      <w:pPr>
        <w:spacing w:line="300" w:lineRule="auto" w:before="140" w:after="0"/>
        <w:ind w:firstLine="560"/>
        <w:jc w:val="left"/>
      </w:pPr>
      <w:r>
        <w:rPr>
          <w:rFonts w:ascii="Times New Roman" w:hAnsi="Times New Roman" w:eastAsia="宋体"/>
          <w:b w:val="0"/>
          <w:color w:val="000000"/>
          <w:sz w:val="28"/>
        </w:rPr>
        <w:t>蔬菜市场自身的运行特征强化了这一问题的现实性。岳瑞雪和谭砚文发现蔬菜价格的联动效应主要由一个潜在共同因子驱动，不同品种的价格并非彼此独立[4]；安民等把"种植意愿"与气候变化、产销衔接并列为主要风险点[6]。这提示两点：跨品种比较必须控制共同的市场冲击，否则容易把整个市场的涨跌误认为某一策略的能力；品种之间的差异是实质性的，不能以后验的平均效果替代分品种判断。</w:t>
      </w:r>
    </w:p>
    <w:p>
      <w:pPr>
        <w:spacing w:line="300" w:lineRule="auto" w:before="140" w:after="0"/>
        <w:ind w:firstLine="560"/>
        <w:jc w:val="left"/>
      </w:pPr>
      <w:r>
        <w:rPr>
          <w:rFonts w:ascii="Times New Roman" w:hAnsi="Times New Roman" w:eastAsia="宋体"/>
          <w:b/>
          <w:color w:val="000000"/>
          <w:sz w:val="28"/>
        </w:rPr>
        <w:t>本文的研究边界需要在开头明确：数据中没有农户扩种决策的记录，也没有种植面积时序。</w:t>
      </w:r>
      <w:r>
        <w:rPr>
          <w:rFonts w:ascii="Times New Roman" w:hAnsi="Times New Roman" w:eastAsia="宋体"/>
          <w:b w:val="0"/>
          <w:color w:val="000000"/>
          <w:sz w:val="28"/>
        </w:rPr>
        <w:t xml:space="preserve"> 因此本文无法识别生产者是否真的跟风，更无法估计跟风的规模。本文研究的对象是可以在价格数据中量化的"追高风险环境"——某一品种当前的价格形态是否处于容易被追高的状态。前者是现实问题，后者是可测量的研究对象，后文所有关于"追高风险"的表述都指后者。</w:t>
      </w:r>
    </w:p>
    <w:p>
      <w:pPr>
        <w:pStyle w:val="Heading2"/>
        <w:spacing w:line="300" w:lineRule="auto" w:before="200" w:after="80"/>
      </w:pPr>
      <w:r>
        <w:rPr>
          <w:rFonts w:ascii="Times New Roman" w:hAnsi="Times New Roman" w:eastAsia="黑体"/>
          <w:b/>
          <w:color w:val="000000"/>
          <w:sz w:val="28"/>
        </w:rPr>
        <w:t>（二）文献基础与研究缺口</w:t>
      </w:r>
    </w:p>
    <w:p>
      <w:pPr>
        <w:spacing w:line="300" w:lineRule="auto" w:before="140" w:after="0"/>
        <w:ind w:firstLine="560"/>
        <w:jc w:val="left"/>
      </w:pPr>
      <w:r>
        <w:rPr>
          <w:rFonts w:ascii="Times New Roman" w:hAnsi="Times New Roman" w:eastAsia="宋体"/>
          <w:b w:val="0"/>
          <w:color w:val="000000"/>
          <w:sz w:val="28"/>
        </w:rPr>
        <w:t>与本文相关的研究沿三个问题展开，它们分别对应本文需要处理的一处方法或证据要求。</w:t>
      </w:r>
    </w:p>
    <w:p>
      <w:pPr>
        <w:spacing w:line="300" w:lineRule="auto" w:before="140" w:after="0"/>
        <w:ind w:firstLine="560"/>
        <w:jc w:val="left"/>
      </w:pPr>
      <w:r>
        <w:rPr>
          <w:rFonts w:ascii="Times New Roman" w:hAnsi="Times New Roman" w:eastAsia="宋体"/>
          <w:b/>
          <w:color w:val="000000"/>
          <w:sz w:val="28"/>
        </w:rPr>
        <w:t>第一个问题：蔬菜价格波动如何形成与传导？</w:t>
      </w:r>
      <w:r>
        <w:rPr>
          <w:rFonts w:ascii="Times New Roman" w:hAnsi="Times New Roman" w:eastAsia="宋体"/>
          <w:b w:val="0"/>
          <w:color w:val="000000"/>
          <w:sz w:val="28"/>
        </w:rPr>
        <w:t xml:space="preserve"> 已有研究给出两条互补发现：岳瑞雪和谭砚文发现 18 种蔬菜价格的联动效应主要由一个潜在共同因子驱动，该因子与货币流动性过剩关系最强[4]；翟志宏等发现降雨对广州三种蔬菜价格的冲击在方向、时滞与强度上均不相同，三种蔬菜分别在 16、20、10 天达到峰值，日降水的贡献率分别为 8.3%、18.4%、1.0%[5]。对本文的方法含义是：</w:t>
      </w:r>
      <w:r>
        <w:rPr>
          <w:rFonts w:ascii="Times New Roman" w:hAnsi="Times New Roman" w:eastAsia="宋体"/>
          <w:b/>
          <w:color w:val="000000"/>
          <w:sz w:val="28"/>
        </w:rPr>
        <w:t>存在共同因子意味着策略必须采用配对比较</w:t>
      </w:r>
      <w:r>
        <w:rPr>
          <w:rFonts w:ascii="Times New Roman" w:hAnsi="Times New Roman" w:eastAsia="宋体"/>
          <w:b w:val="0"/>
          <w:color w:val="000000"/>
          <w:sz w:val="28"/>
        </w:rPr>
        <w:t>；</w:t>
      </w:r>
      <w:r>
        <w:rPr>
          <w:rFonts w:ascii="Times New Roman" w:hAnsi="Times New Roman" w:eastAsia="宋体"/>
          <w:b/>
          <w:color w:val="000000"/>
          <w:sz w:val="28"/>
        </w:rPr>
        <w:t>冲击效应存在异质性意味着结论须按品种、按窗口分别报告</w:t>
      </w:r>
      <w:r>
        <w:rPr>
          <w:rFonts w:ascii="Times New Roman" w:hAnsi="Times New Roman" w:eastAsia="宋体"/>
          <w:b w:val="0"/>
          <w:color w:val="000000"/>
          <w:sz w:val="28"/>
        </w:rPr>
        <w:t>。</w:t>
      </w:r>
    </w:p>
    <w:p>
      <w:pPr>
        <w:spacing w:line="300" w:lineRule="auto" w:before="140" w:after="0"/>
        <w:ind w:firstLine="560"/>
        <w:jc w:val="left"/>
      </w:pPr>
      <w:r>
        <w:rPr>
          <w:rFonts w:ascii="Times New Roman" w:hAnsi="Times New Roman" w:eastAsia="宋体"/>
          <w:b/>
          <w:color w:val="000000"/>
          <w:sz w:val="28"/>
        </w:rPr>
        <w:t>第二个问题：农户如何依据价格形成预期并调整生产？</w:t>
      </w:r>
      <w:r>
        <w:rPr>
          <w:rFonts w:ascii="Times New Roman" w:hAnsi="Times New Roman" w:eastAsia="宋体"/>
          <w:b w:val="0"/>
          <w:color w:val="000000"/>
          <w:sz w:val="28"/>
        </w:rPr>
        <w:t xml:space="preserve"> 蛛网理论指出供给反应时滞是价格周期波动的来源[1]，适应性预期理论说明生产者依据过去价格修正预期[2]。闵师等把这一机制落到农户层面：基于西双版纳 612 户橡胶种植户的调查，预期价格上升时农户采取调整措施的比例为 53.92%，预期下降时为 29.58%[3]。这为"追高"提供了行为基础，也划出本文的证据边界——本文只有蔬菜市场价格数据，</w:t>
      </w:r>
      <w:r>
        <w:rPr>
          <w:rFonts w:ascii="Times New Roman" w:hAnsi="Times New Roman" w:eastAsia="宋体"/>
          <w:b/>
          <w:color w:val="000000"/>
          <w:sz w:val="28"/>
        </w:rPr>
        <w:t>能检验"高价且快涨之后收益是否更低"，不能检验农户是否按适应性预期行动</w:t>
      </w:r>
      <w:r>
        <w:rPr>
          <w:rFonts w:ascii="Times New Roman" w:hAnsi="Times New Roman" w:eastAsia="宋体"/>
          <w:b w:val="0"/>
          <w:color w:val="000000"/>
          <w:sz w:val="28"/>
        </w:rPr>
        <w:t>。</w:t>
      </w:r>
    </w:p>
    <w:p>
      <w:pPr>
        <w:spacing w:line="300" w:lineRule="auto" w:before="140" w:after="0"/>
        <w:ind w:firstLine="560"/>
        <w:jc w:val="left"/>
      </w:pPr>
      <w:r>
        <w:rPr>
          <w:rFonts w:ascii="Times New Roman" w:hAnsi="Times New Roman" w:eastAsia="宋体"/>
          <w:b/>
          <w:color w:val="000000"/>
          <w:sz w:val="28"/>
        </w:rPr>
        <w:t>第三个问题：市场价格信息与预测在风险管理中处于什么位置？</w:t>
      </w:r>
      <w:r>
        <w:rPr>
          <w:rFonts w:ascii="Times New Roman" w:hAnsi="Times New Roman" w:eastAsia="宋体"/>
          <w:b w:val="0"/>
          <w:color w:val="000000"/>
          <w:sz w:val="28"/>
        </w:rPr>
        <w:t xml:space="preserve"> 安民等把"种植意愿"与气候变化、产销衔接并列为主要风险点，并建议完善监测预警体系[6]；于晓华和刘爽比较四种模型预测生猪价格，发现没有一个算法绝对占优，主张同时使用多种算法，并发现 2018 年前后数据结构发生显著变化，据此提出结构改变时须更新模型[7]。这提示两点：</w:t>
      </w:r>
      <w:r>
        <w:rPr>
          <w:rFonts w:ascii="Times New Roman" w:hAnsi="Times New Roman" w:eastAsia="宋体"/>
          <w:b/>
          <w:color w:val="000000"/>
          <w:sz w:val="28"/>
        </w:rPr>
        <w:t>预测价值需通过与朴素基准比较来判断</w:t>
      </w:r>
      <w:r>
        <w:rPr>
          <w:rFonts w:ascii="Times New Roman" w:hAnsi="Times New Roman" w:eastAsia="宋体"/>
          <w:b w:val="0"/>
          <w:color w:val="000000"/>
          <w:sz w:val="28"/>
        </w:rPr>
        <w:t>，而</w:t>
      </w:r>
      <w:r>
        <w:rPr>
          <w:rFonts w:ascii="Times New Roman" w:hAnsi="Times New Roman" w:eastAsia="宋体"/>
          <w:b/>
          <w:color w:val="000000"/>
          <w:sz w:val="28"/>
        </w:rPr>
        <w:t>模型有效性会随市场结构变化衰减</w:t>
      </w:r>
      <w:r>
        <w:rPr>
          <w:rFonts w:ascii="Times New Roman" w:hAnsi="Times New Roman" w:eastAsia="宋体"/>
          <w:b w:val="0"/>
          <w:color w:val="000000"/>
          <w:sz w:val="28"/>
        </w:rPr>
        <w:t>，因此必须逐年滚动评价并如实报告后段年份。</w:t>
      </w:r>
    </w:p>
    <w:p>
      <w:pPr>
        <w:spacing w:line="300" w:lineRule="auto" w:before="140" w:after="0"/>
        <w:ind w:firstLine="560"/>
        <w:jc w:val="left"/>
      </w:pPr>
      <w:r>
        <w:rPr>
          <w:rFonts w:ascii="Times New Roman" w:hAnsi="Times New Roman" w:eastAsia="宋体"/>
          <w:b w:val="0"/>
          <w:color w:val="000000"/>
          <w:sz w:val="28"/>
        </w:rPr>
        <w:t>上述三条线索汇成一个缺口：既有研究大多分别回答"价格如何波动"或"农户如何反应"，而</w:t>
      </w:r>
      <w:r>
        <w:rPr>
          <w:rFonts w:ascii="Times New Roman" w:hAnsi="Times New Roman" w:eastAsia="宋体"/>
          <w:b/>
          <w:color w:val="000000"/>
          <w:sz w:val="28"/>
        </w:rPr>
        <w:t>同时回答"价格信息是否有预测价值"与"这种价值能否转化为优于简单规则的决策表现"的研究仍然有限</w:t>
      </w:r>
      <w:r>
        <w:rPr>
          <w:rFonts w:ascii="Times New Roman" w:hAnsi="Times New Roman" w:eastAsia="宋体"/>
          <w:b w:val="0"/>
          <w:color w:val="000000"/>
          <w:sz w:val="28"/>
        </w:rPr>
        <w:t>。这两个命题的强度不同：前者只说明信息并非无用，后者才说明额外复杂度有回报。本文对两者分别检验，并对后者给出否定性结论。</w:t>
      </w:r>
    </w:p>
    <w:p>
      <w:pPr>
        <w:pStyle w:val="Heading2"/>
        <w:spacing w:line="300" w:lineRule="auto" w:before="200" w:after="80"/>
      </w:pPr>
      <w:r>
        <w:rPr>
          <w:rFonts w:ascii="Times New Roman" w:hAnsi="Times New Roman" w:eastAsia="黑体"/>
          <w:b/>
          <w:color w:val="000000"/>
          <w:sz w:val="28"/>
        </w:rPr>
        <w:t>（三）研究问题</w:t>
      </w:r>
    </w:p>
    <w:p>
      <w:pPr>
        <w:spacing w:line="300" w:lineRule="auto" w:before="140" w:after="0"/>
        <w:ind w:firstLine="560"/>
        <w:jc w:val="left"/>
      </w:pPr>
      <w:r>
        <w:rPr>
          <w:rFonts w:ascii="Times New Roman" w:hAnsi="Times New Roman" w:eastAsia="宋体"/>
          <w:b w:val="0"/>
          <w:color w:val="000000"/>
          <w:sz w:val="28"/>
        </w:rPr>
        <w:t>本文围绕三个可证伪的问题展开。</w:t>
      </w:r>
      <w:r>
        <w:rPr>
          <w:rFonts w:ascii="Times New Roman" w:hAnsi="Times New Roman" w:eastAsia="宋体"/>
          <w:b/>
          <w:color w:val="000000"/>
          <w:sz w:val="28"/>
        </w:rPr>
        <w:t>问题一</w:t>
      </w:r>
      <w:r>
        <w:rPr>
          <w:rFonts w:ascii="Times New Roman" w:hAnsi="Times New Roman" w:eastAsia="宋体"/>
          <w:b w:val="0"/>
          <w:color w:val="000000"/>
          <w:sz w:val="28"/>
        </w:rPr>
        <w:t>：沈阳市主要蔬菜价格是否存在稳定且显著的季节结构？成交量的季节性是否同样明显？</w:t>
      </w:r>
      <w:r>
        <w:rPr>
          <w:rFonts w:ascii="Times New Roman" w:hAnsi="Times New Roman" w:eastAsia="宋体"/>
          <w:b/>
          <w:color w:val="000000"/>
          <w:sz w:val="28"/>
        </w:rPr>
        <w:t>问题二</w:t>
      </w:r>
      <w:r>
        <w:rPr>
          <w:rFonts w:ascii="Times New Roman" w:hAnsi="Times New Roman" w:eastAsia="宋体"/>
          <w:b w:val="0"/>
          <w:color w:val="000000"/>
          <w:sz w:val="28"/>
        </w:rPr>
        <w:t>：在扩张窗口滚动样本外条件下，机器学习方法相对朴素基线能否取得稳定的预测精度提升？哪些品种可预测、哪些不可预测？</w:t>
      </w:r>
      <w:r>
        <w:rPr>
          <w:rFonts w:ascii="Times New Roman" w:hAnsi="Times New Roman" w:eastAsia="宋体"/>
          <w:b/>
          <w:color w:val="000000"/>
          <w:sz w:val="28"/>
        </w:rPr>
        <w:t>问题三</w:t>
      </w:r>
      <w:r>
        <w:rPr>
          <w:rFonts w:ascii="Times New Roman" w:hAnsi="Times New Roman" w:eastAsia="宋体"/>
          <w:b w:val="0"/>
          <w:color w:val="000000"/>
          <w:sz w:val="28"/>
        </w:rPr>
        <w:t>：在识别出追高风险环境之后，基于预测与风险的策略能否优于均匀随机选择？进一步地，复杂预测策略能否显著优于简单的季节策略与最小尾部风险策略？</w:t>
      </w:r>
    </w:p>
    <w:p>
      <w:pPr>
        <w:spacing w:line="300" w:lineRule="auto" w:before="140" w:after="0"/>
        <w:ind w:firstLine="560"/>
        <w:jc w:val="left"/>
      </w:pPr>
      <w:r>
        <w:rPr>
          <w:rFonts w:ascii="Times New Roman" w:hAnsi="Times New Roman" w:eastAsia="宋体"/>
          <w:b w:val="0"/>
          <w:color w:val="000000"/>
          <w:sz w:val="28"/>
        </w:rPr>
        <w:t>第三个问题是核心。如果复杂策略不能显著优于一个不需要模型的季节规则，提高模型复杂度就不是改善决策的有效途径。本文对此给出否定答案，并在第九章解释其统计学与经济上的原因。</w:t>
      </w:r>
    </w:p>
    <w:p>
      <w:pPr>
        <w:spacing w:line="300" w:lineRule="auto" w:before="140" w:after="0"/>
        <w:ind w:firstLine="560"/>
        <w:jc w:val="left"/>
      </w:pPr>
      <w:r>
        <w:rPr>
          <w:rFonts w:ascii="Times New Roman" w:hAnsi="Times New Roman" w:eastAsia="宋体"/>
          <w:b/>
          <w:color w:val="000000"/>
          <w:sz w:val="28"/>
        </w:rPr>
        <w:t>问题一</w:t>
      </w:r>
      <w:r>
        <w:rPr>
          <w:rFonts w:ascii="Times New Roman" w:hAnsi="Times New Roman" w:eastAsia="宋体"/>
          <w:b w:val="0"/>
          <w:color w:val="000000"/>
          <w:sz w:val="28"/>
        </w:rPr>
        <w:t>：沈阳市主要蔬菜价格是否存在稳定且显著的季节结构？成交量的季节性是否同样明显？</w:t>
      </w:r>
    </w:p>
    <w:p>
      <w:pPr>
        <w:spacing w:line="300" w:lineRule="auto" w:before="140" w:after="0"/>
        <w:ind w:firstLine="560"/>
        <w:jc w:val="left"/>
      </w:pPr>
      <w:r>
        <w:rPr>
          <w:rFonts w:ascii="Times New Roman" w:hAnsi="Times New Roman" w:eastAsia="宋体"/>
          <w:b/>
          <w:color w:val="000000"/>
          <w:sz w:val="28"/>
        </w:rPr>
        <w:t>问题二</w:t>
      </w:r>
      <w:r>
        <w:rPr>
          <w:rFonts w:ascii="Times New Roman" w:hAnsi="Times New Roman" w:eastAsia="宋体"/>
          <w:b w:val="0"/>
          <w:color w:val="000000"/>
          <w:sz w:val="28"/>
        </w:rPr>
        <w:t>：在扩张窗口滚动样本外条件下，机器学习方法相对上一期价格、移动平均、季节中位数、上年同期等朴素基线，能否取得稳定的预测精度提升？哪些品种可预测、哪些不可预测？</w:t>
      </w:r>
    </w:p>
    <w:p>
      <w:pPr>
        <w:spacing w:line="300" w:lineRule="auto" w:before="140" w:after="0"/>
        <w:ind w:firstLine="560"/>
        <w:jc w:val="left"/>
      </w:pPr>
      <w:r>
        <w:rPr>
          <w:rFonts w:ascii="Times New Roman" w:hAnsi="Times New Roman" w:eastAsia="宋体"/>
          <w:b/>
          <w:color w:val="000000"/>
          <w:sz w:val="28"/>
        </w:rPr>
        <w:t>问题三</w:t>
      </w:r>
      <w:r>
        <w:rPr>
          <w:rFonts w:ascii="Times New Roman" w:hAnsi="Times New Roman" w:eastAsia="宋体"/>
          <w:b w:val="0"/>
          <w:color w:val="000000"/>
          <w:sz w:val="28"/>
        </w:rPr>
        <w:t>：在识别出追高风险环境之后，基于预测与风险的策略能否优于均匀随机选择？进一步地，复杂预测策略能否显著优于简单的季节策略与最小尾部风险策略？</w:t>
      </w:r>
    </w:p>
    <w:p>
      <w:pPr>
        <w:spacing w:line="300" w:lineRule="auto" w:before="140" w:after="0"/>
        <w:ind w:firstLine="560"/>
        <w:jc w:val="left"/>
      </w:pPr>
      <w:r>
        <w:rPr>
          <w:rFonts w:ascii="Times New Roman" w:hAnsi="Times New Roman" w:eastAsia="宋体"/>
          <w:b w:val="0"/>
          <w:color w:val="000000"/>
          <w:sz w:val="28"/>
        </w:rPr>
        <w:t>第三个问题是核心。如果复杂策略不能显著优于一个不需要模型的季节规则，那么"提高模型复杂度"就不是改善决策的有效途径。本文对这一命题给出否定答案，并在第九章解释其统计学与经济上的原因。</w:t>
      </w:r>
    </w:p>
    <w:p>
      <w:pPr>
        <w:pStyle w:val="Heading2"/>
        <w:spacing w:line="300" w:lineRule="auto" w:before="200" w:after="80"/>
      </w:pPr>
      <w:r>
        <w:rPr>
          <w:rFonts w:ascii="Times New Roman" w:hAnsi="Times New Roman" w:eastAsia="黑体"/>
          <w:b/>
          <w:color w:val="000000"/>
          <w:sz w:val="28"/>
        </w:rPr>
        <w:t>（四）研究思路与技术路线</w:t>
      </w:r>
    </w:p>
    <w:p>
      <w:pPr>
        <w:spacing w:line="300" w:lineRule="auto" w:before="140" w:after="0"/>
        <w:ind w:firstLine="560"/>
        <w:jc w:val="left"/>
      </w:pPr>
      <w:r>
        <w:rPr>
          <w:rFonts w:ascii="Times New Roman" w:hAnsi="Times New Roman" w:eastAsia="宋体"/>
          <w:b w:val="0"/>
          <w:color w:val="000000"/>
          <w:sz w:val="28"/>
        </w:rPr>
        <w:t>研究按"数据治理—季节规律识别—样本外价格预测（含标签 purge）—追高风险指数构建与验证—策略构建—滚动回测与配对比较—稳健性与多重比较校正—经济解释与政策建议"推进。</w:t>
      </w:r>
    </w:p>
    <w:p>
      <w:pPr>
        <w:spacing w:before="120" w:after="40"/>
        <w:jc w:val="center"/>
      </w:pPr>
      <w:r>
        <w:drawing>
          <wp:inline xmlns:a="http://schemas.openxmlformats.org/drawingml/2006/main" xmlns:pic="http://schemas.openxmlformats.org/drawingml/2006/picture">
            <wp:extent cx="5256000" cy="6052364"/>
            <wp:docPr id="1" name="Picture 1"/>
            <wp:cNvGraphicFramePr>
              <a:graphicFrameLocks noChangeAspect="1"/>
            </wp:cNvGraphicFramePr>
            <a:graphic>
              <a:graphicData uri="http://schemas.openxmlformats.org/drawingml/2006/picture">
                <pic:pic>
                  <pic:nvPicPr>
                    <pic:cNvPr id="0" name="F0_roadmap.png"/>
                    <pic:cNvPicPr/>
                  </pic:nvPicPr>
                  <pic:blipFill>
                    <a:blip r:embed="rId11"/>
                    <a:stretch>
                      <a:fillRect/>
                    </a:stretch>
                  </pic:blipFill>
                  <pic:spPr>
                    <a:xfrm>
                      <a:off x="0" y="0"/>
                      <a:ext cx="5256000" cy="6052364"/>
                    </a:xfrm>
                    <a:prstGeom prst="rect"/>
                  </pic:spPr>
                </pic:pic>
              </a:graphicData>
            </a:graphic>
          </wp:inline>
        </w:drawing>
      </w:r>
    </w:p>
    <w:p>
      <w:pPr>
        <w:spacing w:line="240" w:lineRule="auto" w:before="40" w:after="160"/>
        <w:jc w:val="center"/>
      </w:pPr>
      <w:r>
        <w:rPr>
          <w:rFonts w:ascii="Times New Roman" w:hAnsi="Times New Roman" w:eastAsia="宋体"/>
          <w:b/>
          <w:color w:val="000000"/>
          <w:sz w:val="24"/>
        </w:rPr>
        <w:t xml:space="preserve">图 </w:t>
      </w:r>
      <w:r>
        <w:fldChar w:fldCharType="begin"/>
        <w:instrText xml:space="preserve">SEQ 图 \* ARABIC</w:instrText>
        <w:fldChar w:fldCharType="separate"/>
        <w:t>（Word 打开时自动更新）</w:t>
        <w:fldChar w:fldCharType="end"/>
      </w:r>
      <w:r>
        <w:rPr>
          <w:rFonts w:ascii="Times New Roman" w:hAnsi="Times New Roman" w:eastAsia="宋体"/>
          <w:b/>
          <w:color w:val="000000"/>
          <w:sz w:val="24"/>
        </w:rPr>
        <w:t xml:space="preserve">　研究技术路线</w:t>
      </w:r>
    </w:p>
    <w:p>
      <w:pPr>
        <w:spacing w:line="300" w:lineRule="auto" w:before="140" w:after="0"/>
        <w:ind w:firstLine="560"/>
        <w:jc w:val="left"/>
      </w:pPr>
      <w:r>
        <w:rPr>
          <w:rFonts w:ascii="Times New Roman" w:hAnsi="Times New Roman" w:eastAsia="宋体"/>
          <w:b w:val="0"/>
          <w:color w:val="000000"/>
          <w:sz w:val="28"/>
        </w:rPr>
        <w:t>与常见的"建模—调参—报告最优结果"路径相比，本文在四个位置设置了约束：特征严格 point-in-time 并以截断不变性检验验证；训练与测试标签均实施 purge/embargo[16]；策略比较采用配对设计[11]，同一切点、同一候选池、同一持有期；所有显著性结论同时报告多重比较校正结果与两种切点口径。</w:t>
      </w:r>
    </w:p>
    <w:p>
      <w:pPr>
        <w:pStyle w:val="Heading2"/>
        <w:spacing w:line="300" w:lineRule="auto" w:before="200" w:after="80"/>
      </w:pPr>
      <w:r>
        <w:rPr>
          <w:rFonts w:ascii="Times New Roman" w:hAnsi="Times New Roman" w:eastAsia="黑体"/>
          <w:b/>
          <w:color w:val="000000"/>
          <w:sz w:val="28"/>
        </w:rPr>
        <w:t>（五）研究贡献</w:t>
      </w:r>
    </w:p>
    <w:p>
      <w:pPr>
        <w:spacing w:line="300" w:lineRule="auto" w:before="140" w:after="0"/>
        <w:ind w:firstLine="560"/>
        <w:jc w:val="left"/>
      </w:pPr>
      <w:r>
        <w:rPr>
          <w:rFonts w:ascii="Times New Roman" w:hAnsi="Times New Roman" w:eastAsia="宋体"/>
          <w:b/>
          <w:color w:val="000000"/>
          <w:sz w:val="28"/>
        </w:rPr>
        <w:t>把难以观测的行为问题转化为可量化的市场环境指标。</w:t>
      </w:r>
      <w:r>
        <w:rPr>
          <w:rFonts w:ascii="Times New Roman" w:hAnsi="Times New Roman" w:eastAsia="宋体"/>
          <w:b w:val="0"/>
          <w:color w:val="000000"/>
          <w:sz w:val="28"/>
        </w:rPr>
        <w:t xml:space="preserve"> 农户是否跟风无法用价格数据识别，但"容易被追高"的价格形态可以度量；本文构造并检验了该指标，并划出其可支持与不可支持的推断范围。</w:t>
      </w:r>
    </w:p>
    <w:p>
      <w:pPr>
        <w:spacing w:line="300" w:lineRule="auto" w:before="140" w:after="0"/>
        <w:ind w:firstLine="560"/>
        <w:jc w:val="left"/>
      </w:pPr>
      <w:r>
        <w:rPr>
          <w:rFonts w:ascii="Times New Roman" w:hAnsi="Times New Roman" w:eastAsia="宋体"/>
          <w:b/>
          <w:color w:val="000000"/>
          <w:sz w:val="28"/>
        </w:rPr>
        <w:t>在时间信息受限与存在共同因子的条件下完成策略比较。</w:t>
      </w:r>
      <w:r>
        <w:rPr>
          <w:rFonts w:ascii="Times New Roman" w:hAnsi="Times New Roman" w:eastAsia="宋体"/>
          <w:b w:val="0"/>
          <w:color w:val="000000"/>
          <w:sz w:val="28"/>
        </w:rPr>
        <w:t xml:space="preserve"> 截断不变性检验、标签 purge、配对设计与多重比较校正共同构成约束，使策略比较不至于把未来信息或整个市场的共同涨跌计入策略能力。</w:t>
      </w:r>
    </w:p>
    <w:p>
      <w:pPr>
        <w:spacing w:line="300" w:lineRule="auto" w:before="140" w:after="0"/>
        <w:ind w:firstLine="560"/>
        <w:jc w:val="left"/>
      </w:pPr>
      <w:r>
        <w:rPr>
          <w:rFonts w:ascii="Times New Roman" w:hAnsi="Times New Roman" w:eastAsia="宋体"/>
          <w:b/>
          <w:color w:val="000000"/>
          <w:sz w:val="28"/>
        </w:rPr>
        <w:t>对蔬菜市场信息服务的组织方式提出具体建议。</w:t>
      </w:r>
      <w:r>
        <w:rPr>
          <w:rFonts w:ascii="Times New Roman" w:hAnsi="Times New Roman" w:eastAsia="宋体"/>
          <w:b w:val="0"/>
          <w:color w:val="000000"/>
          <w:sz w:val="28"/>
        </w:rPr>
        <w:t xml:space="preserve"> 基于可识别的风险环境，本文说明风险提示应由谁发布、在什么条件下使用、能解决什么问题、存在哪些限制。</w:t>
      </w:r>
    </w:p>
    <w:p>
      <w:pPr>
        <w:spacing w:line="300" w:lineRule="auto" w:before="140" w:after="0"/>
        <w:ind w:firstLine="560"/>
        <w:jc w:val="left"/>
      </w:pPr>
      <w:r>
        <w:rPr>
          <w:rFonts w:ascii="Times New Roman" w:hAnsi="Times New Roman" w:eastAsia="宋体"/>
          <w:b/>
          <w:color w:val="000000"/>
          <w:sz w:val="28"/>
        </w:rPr>
        <w:t>区分平均表现与下行风险。</w:t>
      </w:r>
      <w:r>
        <w:rPr>
          <w:rFonts w:ascii="Times New Roman" w:hAnsi="Times New Roman" w:eastAsia="宋体"/>
          <w:b w:val="0"/>
          <w:color w:val="000000"/>
          <w:sz w:val="28"/>
        </w:rPr>
        <w:t xml:space="preserve"> 本文显示平均表现最好的策略并非尾部最稳的策略，并给出二者取舍的实证依据。</w:t>
      </w:r>
    </w:p>
    <w:p>
      <w:pPr>
        <w:spacing w:line="300" w:lineRule="auto" w:before="140" w:after="0"/>
        <w:ind w:firstLine="560"/>
        <w:jc w:val="left"/>
      </w:pPr>
      <w:r>
        <w:rPr>
          <w:rFonts w:ascii="Times New Roman" w:hAnsi="Times New Roman" w:eastAsia="宋体"/>
          <w:b w:val="0"/>
          <w:color w:val="000000"/>
          <w:sz w:val="28"/>
        </w:rPr>
        <w:t>需要在全文范围内保持一致的边界是：所有收益指标均为市场价格窗口的相对变化，不含成本与亩产，不是农户经营利润；策略比较是基于历史价格序列的滚动回测，不是真实种植经营试验；追高风险指数度量的是市场环境的追高诱因强度，不是农户行为概率，也不构成因果；结论限于沈阳市与单一批发价层。</w:t>
      </w:r>
    </w:p>
    <w:p>
      <w:pPr>
        <w:pStyle w:val="Heading1"/>
        <w:spacing w:line="300" w:lineRule="auto" w:before="240" w:after="120"/>
        <w:jc w:val="left"/>
      </w:pPr>
      <w:r>
        <w:rPr>
          <w:rFonts w:ascii="Times New Roman" w:hAnsi="Times New Roman" w:eastAsia="黑体"/>
          <w:b/>
          <w:color w:val="000000"/>
          <w:sz w:val="30"/>
        </w:rPr>
        <w:t>二、数据来源与数据质量</w:t>
      </w:r>
    </w:p>
    <w:p>
      <w:pPr>
        <w:pStyle w:val="Heading2"/>
        <w:spacing w:line="300" w:lineRule="auto" w:before="200" w:after="80"/>
      </w:pPr>
      <w:r>
        <w:rPr>
          <w:rFonts w:ascii="Times New Roman" w:hAnsi="Times New Roman" w:eastAsia="黑体"/>
          <w:b/>
          <w:color w:val="000000"/>
          <w:sz w:val="28"/>
        </w:rPr>
        <w:t>（一）数据来源与来源登记</w:t>
      </w:r>
    </w:p>
    <w:p>
      <w:pPr>
        <w:spacing w:line="300" w:lineRule="auto" w:before="140" w:after="0"/>
        <w:ind w:firstLine="560"/>
        <w:jc w:val="left"/>
      </w:pPr>
      <w:r>
        <w:rPr>
          <w:rFonts w:ascii="Times New Roman" w:hAnsi="Times New Roman" w:eastAsia="宋体"/>
          <w:b w:val="0"/>
          <w:color w:val="000000"/>
          <w:sz w:val="28"/>
        </w:rPr>
        <w:t>价格数据来自沈阳市发展和改革委员会菜篮子信息发布平台的日度监测发布[8]。该平台按日公开主要农产品的批发价格与成交量，属于政府主导的信息公开渠道，连续性较好。本项目通过规范流程采集落库，并在治理层登记来源标识与采集时间，每一条价格观测都可回溯到来源标识、采集日期与原始字段。</w:t>
      </w:r>
    </w:p>
    <w:p>
      <w:pPr>
        <w:spacing w:line="300" w:lineRule="auto" w:before="140" w:after="0"/>
        <w:ind w:firstLine="560"/>
        <w:jc w:val="left"/>
      </w:pPr>
      <w:r>
        <w:rPr>
          <w:rFonts w:ascii="Times New Roman" w:hAnsi="Times New Roman" w:eastAsia="宋体"/>
          <w:b w:val="0"/>
          <w:color w:val="000000"/>
          <w:sz w:val="28"/>
        </w:rPr>
        <w:t>本文使用的建模样本为项目冻结版本 `final_v1`，其输入文件均记录 SHA256 指纹，同时记录代码内容指纹、运行环境版本、随机种子与时间切分方案。这一登记方式保证论文中出现的每一个数字都可以沿同一条链条回溯到原始数据。</w:t>
      </w:r>
    </w:p>
    <w:p>
      <w:pPr>
        <w:pStyle w:val="Heading2"/>
        <w:spacing w:line="300" w:lineRule="auto" w:before="200" w:after="80"/>
      </w:pPr>
      <w:r>
        <w:rPr>
          <w:rFonts w:ascii="Times New Roman" w:hAnsi="Times New Roman" w:eastAsia="黑体"/>
          <w:b/>
          <w:color w:val="000000"/>
          <w:sz w:val="28"/>
        </w:rPr>
        <w:t>（二）数据结构与口径</w:t>
      </w:r>
    </w:p>
    <w:p>
      <w:pPr>
        <w:spacing w:line="300" w:lineRule="auto" w:before="140" w:after="0"/>
        <w:ind w:firstLine="560"/>
        <w:jc w:val="left"/>
      </w:pPr>
      <w:r>
        <w:rPr>
          <w:rFonts w:ascii="Times New Roman" w:hAnsi="Times New Roman" w:eastAsia="宋体"/>
          <w:b w:val="0"/>
          <w:color w:val="000000"/>
          <w:sz w:val="28"/>
        </w:rPr>
        <w:t xml:space="preserve">样本包含土豆、西红柿、黄瓜、韭菜、青椒、尖椒、茄子、芹菜、芸豆、甘蓝共 10 个品种，频率为日度，时间范围为 2021 年 1 月 1 日至 2026 年 10 月 6 日，约 5.7 年。每个品种 1 427 个交易日，合计 </w:t>
      </w:r>
      <w:r>
        <w:rPr>
          <w:rFonts w:ascii="Times New Roman" w:hAnsi="Times New Roman" w:eastAsia="宋体"/>
          <w:b/>
          <w:color w:val="000000"/>
          <w:sz w:val="28"/>
        </w:rPr>
        <w:t>14 270 条</w:t>
      </w:r>
      <w:r>
        <w:rPr>
          <w:rFonts w:ascii="Times New Roman" w:hAnsi="Times New Roman" w:eastAsia="宋体"/>
          <w:b w:val="0"/>
          <w:color w:val="000000"/>
          <w:sz w:val="28"/>
        </w:rPr>
        <w:t>"品种—交易日"观测。价格口径为单一批发价层，原始单位元/500g，分析中统一换算为元/公斤。</w:t>
      </w:r>
    </w:p>
    <w:p>
      <w:pPr>
        <w:spacing w:line="300" w:lineRule="auto" w:before="140" w:after="0"/>
        <w:ind w:firstLine="560"/>
        <w:jc w:val="left"/>
      </w:pPr>
      <w:r>
        <w:rPr>
          <w:rFonts w:ascii="Times New Roman" w:hAnsi="Times New Roman" w:eastAsia="宋体"/>
          <w:b w:val="0"/>
          <w:color w:val="000000"/>
          <w:sz w:val="28"/>
        </w:rPr>
        <w:t>市场上不同来源的价格存在层级差异，批发价、零售价、超市价、产地价与全市均价混用会同时污染水平与波动特征。本文因此严格限定单一批发价层，既不与其他层级合并，也不与其他城市的价格序列合池建模。</w:t>
      </w:r>
    </w:p>
    <w:p>
      <w:pPr>
        <w:spacing w:line="300" w:lineRule="auto" w:before="140" w:after="0"/>
        <w:ind w:firstLine="560"/>
        <w:jc w:val="left"/>
      </w:pPr>
      <w:r>
        <w:rPr>
          <w:rFonts w:ascii="Times New Roman" w:hAnsi="Times New Roman" w:eastAsia="宋体"/>
          <w:b w:val="0"/>
          <w:color w:val="000000"/>
          <w:sz w:val="28"/>
        </w:rPr>
        <w:t>回测的决策切点池为 2024 年 1 月 1 日至 2026 年 8 月 14 日的 609 个交易日；在实施标签 purge 之后，回测有效样本为 6 090 条"品种—决策日"记录。选择 2024 年作为起点，是因为 2021—2023 年的数据需要用于构建历史特征与季节统计量，若把这一阶段也纳入回测，特征的历史信息将不充分。</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数据构成与样本量</w:t>
      </w:r>
    </w:p>
    <w:tbl>
      <w:tblPr>
        <w:tblStyle w:val="TableGrid"/>
        <w:tblW w:type="auto" w:w="0"/>
        <w:jc w:val="center"/>
        <w:tblLook w:firstColumn="1" w:firstRow="1" w:lastColumn="0" w:lastRow="0" w:noHBand="0" w:noVBand="1" w:val="04A0"/>
      </w:tblPr>
      <w:tblGrid>
        <w:gridCol w:w="4156"/>
        <w:gridCol w:w="4156"/>
      </w:tblGrid>
      <w:tr>
        <w:trPr>
          <w:tblHeader w:val="true"/>
        </w:trPr>
        <w:tc>
          <w:tcPr>
            <w:tcW w:type="dxa" w:w="4156"/>
          </w:tcPr>
          <w:p>
            <w:pPr>
              <w:spacing w:line="240" w:lineRule="auto" w:before="20" w:after="20"/>
              <w:jc w:val="center"/>
            </w:pPr>
            <w:r/>
            <w:r>
              <w:rPr>
                <w:rFonts w:ascii="Times New Roman" w:hAnsi="Times New Roman" w:eastAsia="宋体"/>
                <w:b/>
                <w:color w:val="000000"/>
                <w:sz w:val="21"/>
              </w:rPr>
              <w:t>项目</w:t>
            </w:r>
          </w:p>
        </w:tc>
        <w:tc>
          <w:tcPr>
            <w:tcW w:type="dxa" w:w="4156"/>
          </w:tcPr>
          <w:p>
            <w:pPr>
              <w:spacing w:line="240" w:lineRule="auto" w:before="20" w:after="20"/>
              <w:jc w:val="center"/>
            </w:pPr>
            <w:r/>
            <w:r>
              <w:rPr>
                <w:rFonts w:ascii="Times New Roman" w:hAnsi="Times New Roman" w:eastAsia="宋体"/>
                <w:b/>
                <w:color w:val="000000"/>
                <w:sz w:val="21"/>
              </w:rPr>
              <w:t>数值</w:t>
            </w:r>
          </w:p>
        </w:tc>
      </w:tr>
      <w:tr>
        <w:tc>
          <w:tcPr>
            <w:tcW w:type="dxa" w:w="4156"/>
          </w:tcPr>
          <w:p>
            <w:pPr>
              <w:spacing w:line="240" w:lineRule="auto" w:before="20" w:after="20"/>
              <w:jc w:val="left"/>
            </w:pPr>
            <w:r/>
            <w:r>
              <w:rPr>
                <w:rFonts w:ascii="Times New Roman" w:hAnsi="Times New Roman" w:eastAsia="宋体"/>
                <w:b w:val="0"/>
                <w:color w:val="000000"/>
                <w:sz w:val="21"/>
              </w:rPr>
              <w:t>蔬菜品种数</w:t>
            </w:r>
          </w:p>
        </w:tc>
        <w:tc>
          <w:tcPr>
            <w:tcW w:type="dxa" w:w="4156"/>
          </w:tcPr>
          <w:p>
            <w:pPr>
              <w:spacing w:line="240" w:lineRule="auto" w:before="20" w:after="20"/>
              <w:jc w:val="left"/>
            </w:pPr>
            <w:r/>
            <w:r>
              <w:rPr>
                <w:rFonts w:ascii="Times New Roman" w:hAnsi="Times New Roman" w:eastAsia="宋体"/>
                <w:b w:val="0"/>
                <w:color w:val="000000"/>
                <w:sz w:val="21"/>
              </w:rPr>
              <w:t>10</w:t>
            </w:r>
          </w:p>
        </w:tc>
      </w:tr>
      <w:tr>
        <w:tc>
          <w:tcPr>
            <w:tcW w:type="dxa" w:w="4156"/>
          </w:tcPr>
          <w:p>
            <w:pPr>
              <w:spacing w:line="240" w:lineRule="auto" w:before="20" w:after="20"/>
              <w:jc w:val="left"/>
            </w:pPr>
            <w:r/>
            <w:r>
              <w:rPr>
                <w:rFonts w:ascii="Times New Roman" w:hAnsi="Times New Roman" w:eastAsia="宋体"/>
                <w:b w:val="0"/>
                <w:color w:val="000000"/>
                <w:sz w:val="21"/>
              </w:rPr>
              <w:t>每品种交易日数</w:t>
            </w:r>
          </w:p>
        </w:tc>
        <w:tc>
          <w:tcPr>
            <w:tcW w:type="dxa" w:w="4156"/>
          </w:tcPr>
          <w:p>
            <w:pPr>
              <w:spacing w:line="240" w:lineRule="auto" w:before="20" w:after="20"/>
              <w:jc w:val="left"/>
            </w:pPr>
            <w:r/>
            <w:r>
              <w:rPr>
                <w:rFonts w:ascii="Times New Roman" w:hAnsi="Times New Roman" w:eastAsia="宋体"/>
                <w:b w:val="0"/>
                <w:color w:val="000000"/>
                <w:sz w:val="21"/>
              </w:rPr>
              <w:t>1 427</w:t>
            </w:r>
          </w:p>
        </w:tc>
      </w:tr>
      <w:tr>
        <w:tc>
          <w:tcPr>
            <w:tcW w:type="dxa" w:w="4156"/>
          </w:tcPr>
          <w:p>
            <w:pPr>
              <w:spacing w:line="240" w:lineRule="auto" w:before="20" w:after="20"/>
              <w:jc w:val="left"/>
            </w:pPr>
            <w:r/>
            <w:r>
              <w:rPr>
                <w:rFonts w:ascii="Times New Roman" w:hAnsi="Times New Roman" w:eastAsia="宋体"/>
                <w:b w:val="0"/>
                <w:color w:val="000000"/>
                <w:sz w:val="21"/>
              </w:rPr>
              <w:t>建模样本总量</w:t>
            </w:r>
          </w:p>
        </w:tc>
        <w:tc>
          <w:tcPr>
            <w:tcW w:type="dxa" w:w="4156"/>
          </w:tcPr>
          <w:p>
            <w:pPr>
              <w:spacing w:line="240" w:lineRule="auto" w:before="20" w:after="20"/>
              <w:jc w:val="left"/>
            </w:pPr>
            <w:r/>
            <w:r>
              <w:rPr>
                <w:rFonts w:ascii="Times New Roman" w:hAnsi="Times New Roman" w:eastAsia="宋体"/>
                <w:b w:val="0"/>
                <w:color w:val="000000"/>
                <w:sz w:val="21"/>
              </w:rPr>
              <w:t>14 270</w:t>
            </w:r>
          </w:p>
        </w:tc>
      </w:tr>
      <w:tr>
        <w:tc>
          <w:tcPr>
            <w:tcW w:type="dxa" w:w="4156"/>
          </w:tcPr>
          <w:p>
            <w:pPr>
              <w:spacing w:line="240" w:lineRule="auto" w:before="20" w:after="20"/>
              <w:jc w:val="left"/>
            </w:pPr>
            <w:r/>
            <w:r>
              <w:rPr>
                <w:rFonts w:ascii="Times New Roman" w:hAnsi="Times New Roman" w:eastAsia="宋体"/>
                <w:b w:val="0"/>
                <w:color w:val="000000"/>
                <w:sz w:val="21"/>
              </w:rPr>
              <w:t>时间范围</w:t>
            </w:r>
          </w:p>
        </w:tc>
        <w:tc>
          <w:tcPr>
            <w:tcW w:type="dxa" w:w="4156"/>
          </w:tcPr>
          <w:p>
            <w:pPr>
              <w:spacing w:line="240" w:lineRule="auto" w:before="20" w:after="20"/>
              <w:jc w:val="left"/>
            </w:pPr>
            <w:r/>
            <w:r>
              <w:rPr>
                <w:rFonts w:ascii="Times New Roman" w:hAnsi="Times New Roman" w:eastAsia="宋体"/>
                <w:b w:val="0"/>
                <w:color w:val="000000"/>
                <w:sz w:val="21"/>
              </w:rPr>
              <w:t>2021-01-01 至 2026-10-06</w:t>
            </w:r>
          </w:p>
        </w:tc>
      </w:tr>
      <w:tr>
        <w:tc>
          <w:tcPr>
            <w:tcW w:type="dxa" w:w="4156"/>
          </w:tcPr>
          <w:p>
            <w:pPr>
              <w:spacing w:line="240" w:lineRule="auto" w:before="20" w:after="20"/>
              <w:jc w:val="left"/>
            </w:pPr>
            <w:r/>
            <w:r>
              <w:rPr>
                <w:rFonts w:ascii="Times New Roman" w:hAnsi="Times New Roman" w:eastAsia="宋体"/>
                <w:b w:val="0"/>
                <w:color w:val="000000"/>
                <w:sz w:val="21"/>
              </w:rPr>
              <w:t>回测切点池</w:t>
            </w:r>
          </w:p>
        </w:tc>
        <w:tc>
          <w:tcPr>
            <w:tcW w:type="dxa" w:w="4156"/>
          </w:tcPr>
          <w:p>
            <w:pPr>
              <w:spacing w:line="240" w:lineRule="auto" w:before="20" w:after="20"/>
              <w:jc w:val="left"/>
            </w:pPr>
            <w:r/>
            <w:r>
              <w:rPr>
                <w:rFonts w:ascii="Times New Roman" w:hAnsi="Times New Roman" w:eastAsia="宋体"/>
                <w:b w:val="0"/>
                <w:color w:val="000000"/>
                <w:sz w:val="21"/>
              </w:rPr>
              <w:t>2024-01-01 至 2026-08-14（609 个交易日）</w:t>
            </w:r>
          </w:p>
        </w:tc>
      </w:tr>
      <w:tr>
        <w:tc>
          <w:tcPr>
            <w:tcW w:type="dxa" w:w="4156"/>
          </w:tcPr>
          <w:p>
            <w:pPr>
              <w:spacing w:line="240" w:lineRule="auto" w:before="20" w:after="20"/>
              <w:jc w:val="left"/>
            </w:pPr>
            <w:r/>
            <w:r>
              <w:rPr>
                <w:rFonts w:ascii="Times New Roman" w:hAnsi="Times New Roman" w:eastAsia="宋体"/>
                <w:b w:val="0"/>
                <w:color w:val="000000"/>
                <w:sz w:val="21"/>
              </w:rPr>
              <w:t>回测有效样本（purge 后）</w:t>
            </w:r>
          </w:p>
        </w:tc>
        <w:tc>
          <w:tcPr>
            <w:tcW w:type="dxa" w:w="4156"/>
          </w:tcPr>
          <w:p>
            <w:pPr>
              <w:spacing w:line="240" w:lineRule="auto" w:before="20" w:after="20"/>
              <w:jc w:val="left"/>
            </w:pPr>
            <w:r/>
            <w:r>
              <w:rPr>
                <w:rFonts w:ascii="Times New Roman" w:hAnsi="Times New Roman" w:eastAsia="宋体"/>
                <w:b w:val="0"/>
                <w:color w:val="000000"/>
                <w:sz w:val="21"/>
              </w:rPr>
              <w:t>6 090</w:t>
            </w:r>
          </w:p>
        </w:tc>
      </w:tr>
      <w:tr>
        <w:tc>
          <w:tcPr>
            <w:tcW w:type="dxa" w:w="4156"/>
          </w:tcPr>
          <w:p>
            <w:pPr>
              <w:spacing w:line="240" w:lineRule="auto" w:before="20" w:after="20"/>
              <w:jc w:val="left"/>
            </w:pPr>
            <w:r/>
            <w:r>
              <w:rPr>
                <w:rFonts w:ascii="Times New Roman" w:hAnsi="Times New Roman" w:eastAsia="宋体"/>
                <w:b w:val="0"/>
                <w:color w:val="000000"/>
                <w:sz w:val="21"/>
              </w:rPr>
              <w:t>7 天步长 / 30 天步长 决策切点数</w:t>
            </w:r>
          </w:p>
        </w:tc>
        <w:tc>
          <w:tcPr>
            <w:tcW w:type="dxa" w:w="4156"/>
          </w:tcPr>
          <w:p>
            <w:pPr>
              <w:spacing w:line="240" w:lineRule="auto" w:before="20" w:after="20"/>
              <w:jc w:val="left"/>
            </w:pPr>
            <w:r/>
            <w:r>
              <w:rPr>
                <w:rFonts w:ascii="Times New Roman" w:hAnsi="Times New Roman" w:eastAsia="宋体"/>
                <w:b w:val="0"/>
                <w:color w:val="000000"/>
                <w:sz w:val="21"/>
              </w:rPr>
              <w:t>128 / 31</w:t>
            </w:r>
          </w:p>
        </w:tc>
      </w:tr>
    </w:tbl>
    <w:p>
      <w:pPr>
        <w:spacing w:before="0"/>
      </w:pPr>
    </w:p>
    <w:p>
      <w:pPr>
        <w:pStyle w:val="Heading2"/>
        <w:spacing w:line="300" w:lineRule="auto" w:before="200" w:after="80"/>
      </w:pPr>
      <w:r>
        <w:rPr>
          <w:rFonts w:ascii="Times New Roman" w:hAnsi="Times New Roman" w:eastAsia="黑体"/>
          <w:b/>
          <w:color w:val="000000"/>
          <w:sz w:val="28"/>
        </w:rPr>
        <w:t>（三）数据治理流程</w:t>
      </w:r>
    </w:p>
    <w:p>
      <w:pPr>
        <w:spacing w:line="300" w:lineRule="auto" w:before="140" w:after="0"/>
        <w:ind w:firstLine="560"/>
        <w:jc w:val="left"/>
      </w:pPr>
      <w:r>
        <w:rPr>
          <w:rFonts w:ascii="Times New Roman" w:hAnsi="Times New Roman" w:eastAsia="宋体"/>
          <w:b w:val="0"/>
          <w:color w:val="000000"/>
          <w:sz w:val="28"/>
        </w:rPr>
        <w:t>从原始数据到建模样本的治理分五步：把原始品种名映射到受控品种字典，避免同名异写把一个品种拆成两个；在"日期×品种×层级"维度去重，对重复但不一致的记录登记冲突表；统一价格单位与币值口径，剔除无法判定层级的记录；缺失值不填补为 0，异常值标记后按规则处理并保留痕迹；最后输出缺失率、离群点比例与时间覆盖度等质量档案。</w:t>
      </w:r>
    </w:p>
    <w:p>
      <w:pPr>
        <w:spacing w:line="300" w:lineRule="auto" w:before="140" w:after="0"/>
        <w:ind w:firstLine="560"/>
        <w:jc w:val="left"/>
      </w:pPr>
      <w:r>
        <w:rPr>
          <w:rFonts w:ascii="Times New Roman" w:hAnsi="Times New Roman" w:eastAsia="宋体"/>
          <w:b w:val="0"/>
          <w:color w:val="000000"/>
          <w:sz w:val="28"/>
        </w:rPr>
        <w:t>这五步中真正影响结论的是第三步与第四步：价格层级一旦混用，跨品种比较就失去意义；未被记录的填补规则（例如用前值填补周末缺失价格）会系统性压低波动率估计，进而改变风险指标与策略比较的结果。其余步骤主要影响样本量而非结论方向。</w:t>
      </w:r>
    </w:p>
    <w:p>
      <w:pPr>
        <w:pStyle w:val="Heading2"/>
        <w:spacing w:line="300" w:lineRule="auto" w:before="200" w:after="80"/>
      </w:pPr>
      <w:r>
        <w:rPr>
          <w:rFonts w:ascii="Times New Roman" w:hAnsi="Times New Roman" w:eastAsia="黑体"/>
          <w:b/>
          <w:color w:val="000000"/>
          <w:sz w:val="28"/>
        </w:rPr>
        <w:t>（四）数据质量、适用范围与已知缺陷</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数据质量审计摘要</w:t>
      </w:r>
    </w:p>
    <w:tbl>
      <w:tblPr>
        <w:tblStyle w:val="TableGrid"/>
        <w:tblW w:type="auto" w:w="0"/>
        <w:jc w:val="center"/>
        <w:tblLook w:firstColumn="1" w:firstRow="1" w:lastColumn="0" w:lastRow="0" w:noHBand="0" w:noVBand="1" w:val="04A0"/>
      </w:tblPr>
      <w:tblGrid>
        <w:gridCol w:w="4156"/>
        <w:gridCol w:w="4156"/>
      </w:tblGrid>
      <w:tr>
        <w:trPr>
          <w:tblHeader w:val="true"/>
        </w:trPr>
        <w:tc>
          <w:tcPr>
            <w:tcW w:type="dxa" w:w="4156"/>
          </w:tcPr>
          <w:p>
            <w:pPr>
              <w:spacing w:line="240" w:lineRule="auto" w:before="20" w:after="20"/>
              <w:jc w:val="center"/>
            </w:pPr>
            <w:r/>
            <w:r>
              <w:rPr>
                <w:rFonts w:ascii="Times New Roman" w:hAnsi="Times New Roman" w:eastAsia="宋体"/>
                <w:b/>
                <w:color w:val="000000"/>
                <w:sz w:val="21"/>
              </w:rPr>
              <w:t>审计项</w:t>
            </w:r>
          </w:p>
        </w:tc>
        <w:tc>
          <w:tcPr>
            <w:tcW w:type="dxa" w:w="4156"/>
          </w:tcPr>
          <w:p>
            <w:pPr>
              <w:spacing w:line="240" w:lineRule="auto" w:before="20" w:after="20"/>
              <w:jc w:val="center"/>
            </w:pPr>
            <w:r/>
            <w:r>
              <w:rPr>
                <w:rFonts w:ascii="Times New Roman" w:hAnsi="Times New Roman" w:eastAsia="宋体"/>
                <w:b/>
                <w:color w:val="000000"/>
                <w:sz w:val="21"/>
              </w:rPr>
              <w:t>结论</w:t>
            </w:r>
          </w:p>
        </w:tc>
      </w:tr>
      <w:tr>
        <w:tc>
          <w:tcPr>
            <w:tcW w:type="dxa" w:w="4156"/>
          </w:tcPr>
          <w:p>
            <w:pPr>
              <w:spacing w:line="240" w:lineRule="auto" w:before="20" w:after="20"/>
              <w:jc w:val="left"/>
            </w:pPr>
            <w:r/>
            <w:r>
              <w:rPr>
                <w:rFonts w:ascii="Times New Roman" w:hAnsi="Times New Roman" w:eastAsia="宋体"/>
                <w:b w:val="0"/>
                <w:color w:val="000000"/>
                <w:sz w:val="21"/>
              </w:rPr>
              <w:t>价格序列连续性</w:t>
            </w:r>
          </w:p>
        </w:tc>
        <w:tc>
          <w:tcPr>
            <w:tcW w:type="dxa" w:w="4156"/>
          </w:tcPr>
          <w:p>
            <w:pPr>
              <w:spacing w:line="240" w:lineRule="auto" w:before="20" w:after="20"/>
              <w:jc w:val="left"/>
            </w:pPr>
            <w:r/>
            <w:r>
              <w:rPr>
                <w:rFonts w:ascii="Times New Roman" w:hAnsi="Times New Roman" w:eastAsia="宋体"/>
                <w:b w:val="0"/>
                <w:color w:val="000000"/>
                <w:sz w:val="21"/>
              </w:rPr>
              <w:t>10 品种在 2021—2026 年均有连续日度覆盖，无长时间断裂</w:t>
            </w:r>
          </w:p>
        </w:tc>
      </w:tr>
      <w:tr>
        <w:tc>
          <w:tcPr>
            <w:tcW w:type="dxa" w:w="4156"/>
          </w:tcPr>
          <w:p>
            <w:pPr>
              <w:spacing w:line="240" w:lineRule="auto" w:before="20" w:after="20"/>
              <w:jc w:val="left"/>
            </w:pPr>
            <w:r/>
            <w:r>
              <w:rPr>
                <w:rFonts w:ascii="Times New Roman" w:hAnsi="Times New Roman" w:eastAsia="宋体"/>
                <w:b w:val="0"/>
                <w:color w:val="000000"/>
                <w:sz w:val="21"/>
              </w:rPr>
              <w:t>特征泄漏检验</w:t>
            </w:r>
          </w:p>
        </w:tc>
        <w:tc>
          <w:tcPr>
            <w:tcW w:type="dxa" w:w="4156"/>
          </w:tcPr>
          <w:p>
            <w:pPr>
              <w:spacing w:line="240" w:lineRule="auto" w:before="20" w:after="20"/>
              <w:jc w:val="left"/>
            </w:pPr>
            <w:r/>
            <w:r>
              <w:rPr>
                <w:rFonts w:ascii="Times New Roman" w:hAnsi="Times New Roman" w:eastAsia="宋体"/>
                <w:b w:val="0"/>
                <w:color w:val="000000"/>
                <w:sz w:val="21"/>
              </w:rPr>
              <w:t>两个截断点（2023-06-30、2024-06-30）下 63 项特征的截断不变性检验差异均为 0</w:t>
            </w:r>
          </w:p>
        </w:tc>
      </w:tr>
      <w:tr>
        <w:tc>
          <w:tcPr>
            <w:tcW w:type="dxa" w:w="4156"/>
          </w:tcPr>
          <w:p>
            <w:pPr>
              <w:spacing w:line="240" w:lineRule="auto" w:before="20" w:after="20"/>
              <w:jc w:val="left"/>
            </w:pPr>
            <w:r/>
            <w:r>
              <w:rPr>
                <w:rFonts w:ascii="Times New Roman" w:hAnsi="Times New Roman" w:eastAsia="宋体"/>
                <w:b w:val="0"/>
                <w:color w:val="000000"/>
                <w:sz w:val="21"/>
              </w:rPr>
              <w:t>标签边界（purge）</w:t>
            </w:r>
          </w:p>
        </w:tc>
        <w:tc>
          <w:tcPr>
            <w:tcW w:type="dxa" w:w="4156"/>
          </w:tcPr>
          <w:p>
            <w:pPr>
              <w:spacing w:line="240" w:lineRule="auto" w:before="20" w:after="20"/>
              <w:jc w:val="left"/>
            </w:pPr>
            <w:r/>
            <w:r>
              <w:rPr>
                <w:rFonts w:ascii="Times New Roman" w:hAnsi="Times New Roman" w:eastAsia="宋体"/>
                <w:b w:val="0"/>
                <w:color w:val="000000"/>
                <w:sz w:val="21"/>
              </w:rPr>
              <w:t>训练样本要求标签窗口落在训练截止前；测试样本要求落在测试窗口内（详见 §4.3）</w:t>
            </w:r>
          </w:p>
        </w:tc>
      </w:tr>
      <w:tr>
        <w:tc>
          <w:tcPr>
            <w:tcW w:type="dxa" w:w="4156"/>
          </w:tcPr>
          <w:p>
            <w:pPr>
              <w:spacing w:line="240" w:lineRule="auto" w:before="20" w:after="20"/>
              <w:jc w:val="left"/>
            </w:pPr>
            <w:r/>
            <w:r>
              <w:rPr>
                <w:rFonts w:ascii="Times New Roman" w:hAnsi="Times New Roman" w:eastAsia="宋体"/>
                <w:b w:val="0"/>
                <w:color w:val="000000"/>
                <w:sz w:val="21"/>
              </w:rPr>
              <w:t>成交量单位</w:t>
            </w:r>
          </w:p>
        </w:tc>
        <w:tc>
          <w:tcPr>
            <w:tcW w:type="dxa" w:w="4156"/>
          </w:tcPr>
          <w:p>
            <w:pPr>
              <w:spacing w:line="240" w:lineRule="auto" w:before="20" w:after="20"/>
              <w:jc w:val="left"/>
            </w:pPr>
            <w:r/>
            <w:r>
              <w:rPr>
                <w:rFonts w:ascii="Times New Roman" w:hAnsi="Times New Roman" w:eastAsia="宋体"/>
                <w:b w:val="0"/>
                <w:color w:val="000000"/>
                <w:sz w:val="21"/>
              </w:rPr>
              <w:t>官方未公开，故不用于绝对量分析，也不称其为"吨"</w:t>
            </w:r>
          </w:p>
        </w:tc>
      </w:tr>
      <w:tr>
        <w:tc>
          <w:tcPr>
            <w:tcW w:type="dxa" w:w="4156"/>
          </w:tcPr>
          <w:p>
            <w:pPr>
              <w:spacing w:line="240" w:lineRule="auto" w:before="20" w:after="20"/>
              <w:jc w:val="left"/>
            </w:pPr>
            <w:r/>
            <w:r>
              <w:rPr>
                <w:rFonts w:ascii="Times New Roman" w:hAnsi="Times New Roman" w:eastAsia="宋体"/>
                <w:b w:val="0"/>
                <w:color w:val="000000"/>
                <w:sz w:val="21"/>
              </w:rPr>
              <w:t>商品来源地</w:t>
            </w:r>
          </w:p>
        </w:tc>
        <w:tc>
          <w:tcPr>
            <w:tcW w:type="dxa" w:w="4156"/>
          </w:tcPr>
          <w:p>
            <w:pPr>
              <w:spacing w:line="240" w:lineRule="auto" w:before="20" w:after="20"/>
              <w:jc w:val="left"/>
            </w:pPr>
            <w:r/>
            <w:r>
              <w:rPr>
                <w:rFonts w:ascii="Times New Roman" w:hAnsi="Times New Roman" w:eastAsia="宋体"/>
                <w:b w:val="0"/>
                <w:color w:val="000000"/>
                <w:sz w:val="21"/>
              </w:rPr>
              <w:t>平台未公开，故不推断供给结构</w:t>
            </w:r>
          </w:p>
        </w:tc>
      </w:tr>
      <w:tr>
        <w:tc>
          <w:tcPr>
            <w:tcW w:type="dxa" w:w="4156"/>
          </w:tcPr>
          <w:p>
            <w:pPr>
              <w:spacing w:line="240" w:lineRule="auto" w:before="20" w:after="20"/>
              <w:jc w:val="left"/>
            </w:pPr>
            <w:r/>
            <w:r>
              <w:rPr>
                <w:rFonts w:ascii="Times New Roman" w:hAnsi="Times New Roman" w:eastAsia="宋体"/>
                <w:b w:val="0"/>
                <w:color w:val="000000"/>
                <w:sz w:val="21"/>
              </w:rPr>
              <w:t>价格层级</w:t>
            </w:r>
          </w:p>
        </w:tc>
        <w:tc>
          <w:tcPr>
            <w:tcW w:type="dxa" w:w="4156"/>
          </w:tcPr>
          <w:p>
            <w:pPr>
              <w:spacing w:line="240" w:lineRule="auto" w:before="20" w:after="20"/>
              <w:jc w:val="left"/>
            </w:pPr>
            <w:r/>
            <w:r>
              <w:rPr>
                <w:rFonts w:ascii="Times New Roman" w:hAnsi="Times New Roman" w:eastAsia="宋体"/>
                <w:b w:val="0"/>
                <w:color w:val="000000"/>
                <w:sz w:val="21"/>
              </w:rPr>
              <w:t>仅使用批发价单一层</w:t>
            </w:r>
          </w:p>
        </w:tc>
      </w:tr>
    </w:tbl>
    <w:p>
      <w:pPr>
        <w:spacing w:before="0"/>
      </w:pPr>
    </w:p>
    <w:p>
      <w:pPr>
        <w:spacing w:line="300" w:lineRule="auto" w:before="140" w:after="0"/>
        <w:ind w:firstLine="560"/>
        <w:jc w:val="left"/>
      </w:pPr>
      <w:r>
        <w:rPr>
          <w:rFonts w:ascii="Times New Roman" w:hAnsi="Times New Roman" w:eastAsia="宋体"/>
          <w:b w:val="0"/>
          <w:color w:val="000000"/>
          <w:sz w:val="28"/>
        </w:rPr>
        <w:t>数据的适用范围应在读者进入结果之前交代清楚：本文样本为沈阳市、单一批发价层、十种蔬菜、日度频度。成交量单位与商品来源地未知，因此关于供给量变化或本地减产的推论缺乏基础，本文不予采用。参赛数据包提供价格序列、字段说明、来源登记与全部计算程序；平台原始页面快照与第三方年鉴原件因版权与条款原因不随包分发，已登记其位置。本文结果依赖冻结快照，若改用更新数据重新下载，末段数值可能出现小幅差异，但不影响结论方向。</w:t>
      </w:r>
    </w:p>
    <w:p>
      <w:pPr>
        <w:pStyle w:val="Heading1"/>
        <w:spacing w:line="300" w:lineRule="auto" w:before="240" w:after="120"/>
        <w:jc w:val="left"/>
      </w:pPr>
      <w:r>
        <w:rPr>
          <w:rFonts w:ascii="Times New Roman" w:hAnsi="Times New Roman" w:eastAsia="黑体"/>
          <w:b/>
          <w:color w:val="000000"/>
          <w:sz w:val="30"/>
        </w:rPr>
        <w:t>三、市场季节规律分析</w:t>
      </w:r>
    </w:p>
    <w:p>
      <w:pPr>
        <w:pStyle w:val="Heading2"/>
        <w:spacing w:line="300" w:lineRule="auto" w:before="200" w:after="80"/>
      </w:pPr>
      <w:r>
        <w:rPr>
          <w:rFonts w:ascii="Times New Roman" w:hAnsi="Times New Roman" w:eastAsia="黑体"/>
          <w:b/>
          <w:color w:val="000000"/>
          <w:sz w:val="28"/>
        </w:rPr>
        <w:t>（一）价格的时间结构与季节性</w:t>
      </w:r>
    </w:p>
    <w:p>
      <w:pPr>
        <w:spacing w:line="300" w:lineRule="auto" w:before="140" w:after="0"/>
        <w:ind w:firstLine="560"/>
        <w:jc w:val="left"/>
      </w:pPr>
      <w:r>
        <w:rPr>
          <w:rFonts w:ascii="Times New Roman" w:hAnsi="Times New Roman" w:eastAsia="宋体"/>
          <w:b w:val="0"/>
          <w:color w:val="000000"/>
          <w:sz w:val="28"/>
        </w:rPr>
        <w:t xml:space="preserve">季节性强度以季节指数（某月均值与全年均值之比）度量，并以 STL 稳健分解作为独立方法的对照[9]。沈阳主要蔬菜价格季节指数极差的中位数为 </w:t>
      </w:r>
      <w:r>
        <w:rPr>
          <w:rFonts w:ascii="Times New Roman" w:hAnsi="Times New Roman" w:eastAsia="宋体"/>
          <w:b/>
          <w:color w:val="000000"/>
          <w:sz w:val="28"/>
        </w:rPr>
        <w:t>0.775</w:t>
      </w:r>
      <w:r>
        <w:rPr>
          <w:rFonts w:ascii="Times New Roman" w:hAnsi="Times New Roman" w:eastAsia="宋体"/>
          <w:b w:val="0"/>
          <w:color w:val="000000"/>
          <w:sz w:val="28"/>
        </w:rPr>
        <w:t xml:space="preserve">，成交量仅为 </w:t>
      </w:r>
      <w:r>
        <w:rPr>
          <w:rFonts w:ascii="Times New Roman" w:hAnsi="Times New Roman" w:eastAsia="宋体"/>
          <w:b/>
          <w:color w:val="000000"/>
          <w:sz w:val="28"/>
        </w:rPr>
        <w:t>0.084</w:t>
      </w:r>
      <w:r>
        <w:rPr>
          <w:rFonts w:ascii="Times New Roman" w:hAnsi="Times New Roman" w:eastAsia="宋体"/>
          <w:b w:val="0"/>
          <w:color w:val="000000"/>
          <w:sz w:val="28"/>
        </w:rPr>
        <w:t>。</w:t>
      </w:r>
    </w:p>
    <w:p>
      <w:pPr>
        <w:spacing w:line="300" w:lineRule="auto" w:before="140" w:after="0"/>
        <w:ind w:firstLine="560"/>
        <w:jc w:val="left"/>
      </w:pPr>
      <w:r>
        <w:rPr>
          <w:rFonts w:ascii="Times New Roman" w:hAnsi="Times New Roman" w:eastAsia="宋体"/>
          <w:b w:val="0"/>
          <w:color w:val="000000"/>
          <w:sz w:val="28"/>
        </w:rPr>
        <w:t>两个数字的差距提供一个判断依据。0.775 意味着典型品种在年内高低月的价差可达全年均值的七成以上，足以吞没多数预测模型的边际优势，因此季节位置必须显式控制；成交量的季节波动有限，说明价格的季节起伏并非主要由本地交易量驱动，更可能来自跨区域供应节奏、生产成本与信息预期的组合。这只是一个排除性判断——本文没有供给与跨区域流通数据，无法确认季节性的具体来源。</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十种蔬菜的季节强度与价格趋势检验</w:t>
      </w:r>
    </w:p>
    <w:tbl>
      <w:tblPr>
        <w:tblStyle w:val="TableGrid"/>
        <w:tblW w:type="auto" w:w="0"/>
        <w:jc w:val="center"/>
        <w:tblLook w:firstColumn="1" w:firstRow="1" w:lastColumn="0" w:lastRow="0" w:noHBand="0" w:noVBand="1" w:val="04A0"/>
      </w:tblPr>
      <w:tblGrid>
        <w:gridCol w:w="1662"/>
        <w:gridCol w:w="1662"/>
        <w:gridCol w:w="1662"/>
        <w:gridCol w:w="1662"/>
        <w:gridCol w:w="1662"/>
      </w:tblGrid>
      <w:tr>
        <w:trPr>
          <w:tblHeader w:val="true"/>
        </w:trPr>
        <w:tc>
          <w:tcPr>
            <w:tcW w:type="dxa" w:w="1662"/>
          </w:tcPr>
          <w:p>
            <w:pPr>
              <w:spacing w:line="240" w:lineRule="auto" w:before="20" w:after="20"/>
              <w:jc w:val="center"/>
            </w:pPr>
            <w:r/>
            <w:r>
              <w:rPr>
                <w:rFonts w:ascii="Times New Roman" w:hAnsi="Times New Roman" w:eastAsia="宋体"/>
                <w:b/>
                <w:color w:val="000000"/>
                <w:sz w:val="21"/>
              </w:rPr>
              <w:t>品种</w:t>
            </w:r>
          </w:p>
        </w:tc>
        <w:tc>
          <w:tcPr>
            <w:tcW w:type="dxa" w:w="1662"/>
          </w:tcPr>
          <w:p>
            <w:pPr>
              <w:spacing w:line="240" w:lineRule="auto" w:before="20" w:after="20"/>
              <w:jc w:val="center"/>
            </w:pPr>
            <w:r/>
            <w:r>
              <w:rPr>
                <w:rFonts w:ascii="Times New Roman" w:hAnsi="Times New Roman" w:eastAsia="宋体"/>
                <w:b/>
                <w:color w:val="000000"/>
                <w:sz w:val="21"/>
              </w:rPr>
              <w:t>价格季节指数极差</w:t>
            </w:r>
          </w:p>
        </w:tc>
        <w:tc>
          <w:tcPr>
            <w:tcW w:type="dxa" w:w="1662"/>
          </w:tcPr>
          <w:p>
            <w:pPr>
              <w:spacing w:line="240" w:lineRule="auto" w:before="20" w:after="20"/>
              <w:jc w:val="center"/>
            </w:pPr>
            <w:r/>
            <w:r>
              <w:rPr>
                <w:rFonts w:ascii="Times New Roman" w:hAnsi="Times New Roman" w:eastAsia="宋体"/>
                <w:b/>
                <w:color w:val="000000"/>
                <w:sz w:val="21"/>
              </w:rPr>
              <w:t>成交量季节指数极差</w:t>
            </w:r>
          </w:p>
        </w:tc>
        <w:tc>
          <w:tcPr>
            <w:tcW w:type="dxa" w:w="1662"/>
          </w:tcPr>
          <w:p>
            <w:pPr>
              <w:spacing w:line="240" w:lineRule="auto" w:before="20" w:after="20"/>
              <w:jc w:val="center"/>
            </w:pPr>
            <w:r/>
            <w:r>
              <w:rPr>
                <w:rFonts w:ascii="Times New Roman" w:hAnsi="Times New Roman" w:eastAsia="宋体"/>
                <w:b/>
                <w:color w:val="000000"/>
                <w:sz w:val="21"/>
              </w:rPr>
              <w:t>价格趋势（%/年）</w:t>
            </w:r>
          </w:p>
        </w:tc>
        <w:tc>
          <w:tcPr>
            <w:tcW w:type="dxa" w:w="1662"/>
          </w:tcPr>
          <w:p>
            <w:pPr>
              <w:spacing w:line="240" w:lineRule="auto" w:before="20" w:after="20"/>
              <w:jc w:val="center"/>
            </w:pPr>
            <w:r/>
            <w:r>
              <w:rPr>
                <w:rFonts w:ascii="Times New Roman" w:hAnsi="Times New Roman" w:eastAsia="宋体"/>
                <w:b/>
                <w:color w:val="000000"/>
                <w:sz w:val="21"/>
              </w:rPr>
              <w:t>趋势 q 值（BH-FDR）</w:t>
            </w:r>
          </w:p>
        </w:tc>
      </w:tr>
      <w:tr>
        <w:tc>
          <w:tcPr>
            <w:tcW w:type="dxa" w:w="1662"/>
          </w:tcPr>
          <w:p>
            <w:pPr>
              <w:spacing w:line="240" w:lineRule="auto" w:before="20" w:after="20"/>
              <w:jc w:val="left"/>
            </w:pPr>
            <w:r/>
            <w:r>
              <w:rPr>
                <w:rFonts w:ascii="Times New Roman" w:hAnsi="Times New Roman" w:eastAsia="宋体"/>
                <w:b w:val="0"/>
                <w:color w:val="000000"/>
                <w:sz w:val="21"/>
              </w:rPr>
              <w:t>土豆</w:t>
            </w:r>
          </w:p>
        </w:tc>
        <w:tc>
          <w:tcPr>
            <w:tcW w:type="dxa" w:w="1662"/>
          </w:tcPr>
          <w:p>
            <w:pPr>
              <w:spacing w:line="240" w:lineRule="auto" w:before="20" w:after="20"/>
              <w:jc w:val="right"/>
            </w:pPr>
            <w:r/>
            <w:r>
              <w:rPr>
                <w:rFonts w:ascii="Times New Roman" w:hAnsi="Times New Roman" w:eastAsia="宋体"/>
                <w:b w:val="0"/>
                <w:color w:val="000000"/>
                <w:sz w:val="21"/>
              </w:rPr>
              <w:t>0.266</w:t>
            </w:r>
          </w:p>
        </w:tc>
        <w:tc>
          <w:tcPr>
            <w:tcW w:type="dxa" w:w="1662"/>
          </w:tcPr>
          <w:p>
            <w:pPr>
              <w:spacing w:line="240" w:lineRule="auto" w:before="20" w:after="20"/>
              <w:jc w:val="right"/>
            </w:pPr>
            <w:r/>
            <w:r>
              <w:rPr>
                <w:rFonts w:ascii="Times New Roman" w:hAnsi="Times New Roman" w:eastAsia="宋体"/>
                <w:b w:val="0"/>
                <w:color w:val="000000"/>
                <w:sz w:val="21"/>
              </w:rPr>
              <w:t>0.136</w:t>
            </w:r>
          </w:p>
        </w:tc>
        <w:tc>
          <w:tcPr>
            <w:tcW w:type="dxa" w:w="1662"/>
          </w:tcPr>
          <w:p>
            <w:pPr>
              <w:spacing w:line="240" w:lineRule="auto" w:before="20" w:after="20"/>
              <w:jc w:val="right"/>
            </w:pPr>
            <w:r/>
            <w:r>
              <w:rPr>
                <w:rFonts w:ascii="Times New Roman" w:hAnsi="Times New Roman" w:eastAsia="宋体"/>
                <w:b w:val="0"/>
                <w:color w:val="000000"/>
                <w:sz w:val="21"/>
              </w:rPr>
              <w:t>−3.07</w:t>
            </w:r>
          </w:p>
        </w:tc>
        <w:tc>
          <w:tcPr>
            <w:tcW w:type="dxa" w:w="1662"/>
          </w:tcPr>
          <w:p>
            <w:pPr>
              <w:spacing w:line="240" w:lineRule="auto" w:before="20" w:after="20"/>
              <w:jc w:val="left"/>
            </w:pPr>
            <w:r/>
            <w:r>
              <w:rPr>
                <w:rFonts w:ascii="Times New Roman" w:hAnsi="Times New Roman" w:eastAsia="宋体"/>
                <w:b w:val="0"/>
                <w:color w:val="000000"/>
                <w:sz w:val="21"/>
              </w:rPr>
              <w:t>0.001（显著）</w:t>
            </w:r>
          </w:p>
        </w:tc>
      </w:tr>
      <w:tr>
        <w:tc>
          <w:tcPr>
            <w:tcW w:type="dxa" w:w="1662"/>
          </w:tcPr>
          <w:p>
            <w:pPr>
              <w:spacing w:line="240" w:lineRule="auto" w:before="20" w:after="20"/>
              <w:jc w:val="left"/>
            </w:pPr>
            <w:r/>
            <w:r>
              <w:rPr>
                <w:rFonts w:ascii="Times New Roman" w:hAnsi="Times New Roman" w:eastAsia="宋体"/>
                <w:b w:val="0"/>
                <w:color w:val="000000"/>
                <w:sz w:val="21"/>
              </w:rPr>
              <w:t>西红柿</w:t>
            </w:r>
          </w:p>
        </w:tc>
        <w:tc>
          <w:tcPr>
            <w:tcW w:type="dxa" w:w="1662"/>
          </w:tcPr>
          <w:p>
            <w:pPr>
              <w:spacing w:line="240" w:lineRule="auto" w:before="20" w:after="20"/>
              <w:jc w:val="right"/>
            </w:pPr>
            <w:r/>
            <w:r>
              <w:rPr>
                <w:rFonts w:ascii="Times New Roman" w:hAnsi="Times New Roman" w:eastAsia="宋体"/>
                <w:b w:val="0"/>
                <w:color w:val="000000"/>
                <w:sz w:val="21"/>
              </w:rPr>
              <w:t>0.643</w:t>
            </w:r>
          </w:p>
        </w:tc>
        <w:tc>
          <w:tcPr>
            <w:tcW w:type="dxa" w:w="1662"/>
          </w:tcPr>
          <w:p>
            <w:pPr>
              <w:spacing w:line="240" w:lineRule="auto" w:before="20" w:after="20"/>
              <w:jc w:val="right"/>
            </w:pPr>
            <w:r/>
            <w:r>
              <w:rPr>
                <w:rFonts w:ascii="Times New Roman" w:hAnsi="Times New Roman" w:eastAsia="宋体"/>
                <w:b w:val="0"/>
                <w:color w:val="000000"/>
                <w:sz w:val="21"/>
              </w:rPr>
              <w:t>0.087</w:t>
            </w:r>
          </w:p>
        </w:tc>
        <w:tc>
          <w:tcPr>
            <w:tcW w:type="dxa" w:w="1662"/>
          </w:tcPr>
          <w:p>
            <w:pPr>
              <w:spacing w:line="240" w:lineRule="auto" w:before="20" w:after="20"/>
              <w:jc w:val="right"/>
            </w:pPr>
            <w:r/>
            <w:r>
              <w:rPr>
                <w:rFonts w:ascii="Times New Roman" w:hAnsi="Times New Roman" w:eastAsia="宋体"/>
                <w:b w:val="0"/>
                <w:color w:val="000000"/>
                <w:sz w:val="21"/>
              </w:rPr>
              <w:t>+2.81</w:t>
            </w:r>
          </w:p>
        </w:tc>
        <w:tc>
          <w:tcPr>
            <w:tcW w:type="dxa" w:w="1662"/>
          </w:tcPr>
          <w:p>
            <w:pPr>
              <w:spacing w:line="240" w:lineRule="auto" w:before="20" w:after="20"/>
              <w:jc w:val="left"/>
            </w:pPr>
            <w:r/>
            <w:r>
              <w:rPr>
                <w:rFonts w:ascii="Times New Roman" w:hAnsi="Times New Roman" w:eastAsia="宋体"/>
                <w:b w:val="0"/>
                <w:color w:val="000000"/>
                <w:sz w:val="21"/>
              </w:rPr>
              <w:t>0.285（不显著）</w:t>
            </w:r>
          </w:p>
        </w:tc>
      </w:tr>
      <w:tr>
        <w:tc>
          <w:tcPr>
            <w:tcW w:type="dxa" w:w="1662"/>
          </w:tcPr>
          <w:p>
            <w:pPr>
              <w:spacing w:line="240" w:lineRule="auto" w:before="20" w:after="20"/>
              <w:jc w:val="left"/>
            </w:pPr>
            <w:r/>
            <w:r>
              <w:rPr>
                <w:rFonts w:ascii="Times New Roman" w:hAnsi="Times New Roman" w:eastAsia="宋体"/>
                <w:b w:val="0"/>
                <w:color w:val="000000"/>
                <w:sz w:val="21"/>
              </w:rPr>
              <w:t>黄瓜</w:t>
            </w:r>
          </w:p>
        </w:tc>
        <w:tc>
          <w:tcPr>
            <w:tcW w:type="dxa" w:w="1662"/>
          </w:tcPr>
          <w:p>
            <w:pPr>
              <w:spacing w:line="240" w:lineRule="auto" w:before="20" w:after="20"/>
              <w:jc w:val="right"/>
            </w:pPr>
            <w:r/>
            <w:r>
              <w:rPr>
                <w:rFonts w:ascii="Times New Roman" w:hAnsi="Times New Roman" w:eastAsia="宋体"/>
                <w:b w:val="0"/>
                <w:color w:val="000000"/>
                <w:sz w:val="21"/>
              </w:rPr>
              <w:t>0.849</w:t>
            </w:r>
          </w:p>
        </w:tc>
        <w:tc>
          <w:tcPr>
            <w:tcW w:type="dxa" w:w="1662"/>
          </w:tcPr>
          <w:p>
            <w:pPr>
              <w:spacing w:line="240" w:lineRule="auto" w:before="20" w:after="20"/>
              <w:jc w:val="right"/>
            </w:pPr>
            <w:r/>
            <w:r>
              <w:rPr>
                <w:rFonts w:ascii="Times New Roman" w:hAnsi="Times New Roman" w:eastAsia="宋体"/>
                <w:b w:val="0"/>
                <w:color w:val="000000"/>
                <w:sz w:val="21"/>
              </w:rPr>
              <w:t>0.090</w:t>
            </w:r>
          </w:p>
        </w:tc>
        <w:tc>
          <w:tcPr>
            <w:tcW w:type="dxa" w:w="1662"/>
          </w:tcPr>
          <w:p>
            <w:pPr>
              <w:spacing w:line="240" w:lineRule="auto" w:before="20" w:after="20"/>
              <w:jc w:val="right"/>
            </w:pPr>
            <w:r/>
            <w:r>
              <w:rPr>
                <w:rFonts w:ascii="Times New Roman" w:hAnsi="Times New Roman" w:eastAsia="宋体"/>
                <w:b w:val="0"/>
                <w:color w:val="000000"/>
                <w:sz w:val="21"/>
              </w:rPr>
              <w:t>+2.36</w:t>
            </w:r>
          </w:p>
        </w:tc>
        <w:tc>
          <w:tcPr>
            <w:tcW w:type="dxa" w:w="1662"/>
          </w:tcPr>
          <w:p>
            <w:pPr>
              <w:spacing w:line="240" w:lineRule="auto" w:before="20" w:after="20"/>
              <w:jc w:val="left"/>
            </w:pPr>
            <w:r/>
            <w:r>
              <w:rPr>
                <w:rFonts w:ascii="Times New Roman" w:hAnsi="Times New Roman" w:eastAsia="宋体"/>
                <w:b w:val="0"/>
                <w:color w:val="000000"/>
                <w:sz w:val="21"/>
              </w:rPr>
              <w:t>0.451（不显著）</w:t>
            </w:r>
          </w:p>
        </w:tc>
      </w:tr>
      <w:tr>
        <w:tc>
          <w:tcPr>
            <w:tcW w:type="dxa" w:w="1662"/>
          </w:tcPr>
          <w:p>
            <w:pPr>
              <w:spacing w:line="240" w:lineRule="auto" w:before="20" w:after="20"/>
              <w:jc w:val="left"/>
            </w:pPr>
            <w:r/>
            <w:r>
              <w:rPr>
                <w:rFonts w:ascii="Times New Roman" w:hAnsi="Times New Roman" w:eastAsia="宋体"/>
                <w:b w:val="0"/>
                <w:color w:val="000000"/>
                <w:sz w:val="21"/>
              </w:rPr>
              <w:t>韭菜</w:t>
            </w:r>
          </w:p>
        </w:tc>
        <w:tc>
          <w:tcPr>
            <w:tcW w:type="dxa" w:w="1662"/>
          </w:tcPr>
          <w:p>
            <w:pPr>
              <w:spacing w:line="240" w:lineRule="auto" w:before="20" w:after="20"/>
              <w:jc w:val="right"/>
            </w:pPr>
            <w:r/>
            <w:r>
              <w:rPr>
                <w:rFonts w:ascii="Times New Roman" w:hAnsi="Times New Roman" w:eastAsia="宋体"/>
                <w:b w:val="0"/>
                <w:color w:val="000000"/>
                <w:sz w:val="21"/>
              </w:rPr>
              <w:t>0.882</w:t>
            </w:r>
          </w:p>
        </w:tc>
        <w:tc>
          <w:tcPr>
            <w:tcW w:type="dxa" w:w="1662"/>
          </w:tcPr>
          <w:p>
            <w:pPr>
              <w:spacing w:line="240" w:lineRule="auto" w:before="20" w:after="20"/>
              <w:jc w:val="right"/>
            </w:pPr>
            <w:r/>
            <w:r>
              <w:rPr>
                <w:rFonts w:ascii="Times New Roman" w:hAnsi="Times New Roman" w:eastAsia="宋体"/>
                <w:b w:val="0"/>
                <w:color w:val="000000"/>
                <w:sz w:val="21"/>
              </w:rPr>
              <w:t>0.117</w:t>
            </w:r>
          </w:p>
        </w:tc>
        <w:tc>
          <w:tcPr>
            <w:tcW w:type="dxa" w:w="1662"/>
          </w:tcPr>
          <w:p>
            <w:pPr>
              <w:spacing w:line="240" w:lineRule="auto" w:before="20" w:after="20"/>
              <w:jc w:val="right"/>
            </w:pPr>
            <w:r/>
            <w:r>
              <w:rPr>
                <w:rFonts w:ascii="Times New Roman" w:hAnsi="Times New Roman" w:eastAsia="宋体"/>
                <w:b w:val="0"/>
                <w:color w:val="000000"/>
                <w:sz w:val="21"/>
              </w:rPr>
              <w:t>+3.12</w:t>
            </w:r>
          </w:p>
        </w:tc>
        <w:tc>
          <w:tcPr>
            <w:tcW w:type="dxa" w:w="1662"/>
          </w:tcPr>
          <w:p>
            <w:pPr>
              <w:spacing w:line="240" w:lineRule="auto" w:before="20" w:after="20"/>
              <w:jc w:val="left"/>
            </w:pPr>
            <w:r/>
            <w:r>
              <w:rPr>
                <w:rFonts w:ascii="Times New Roman" w:hAnsi="Times New Roman" w:eastAsia="宋体"/>
                <w:b w:val="0"/>
                <w:color w:val="000000"/>
                <w:sz w:val="21"/>
              </w:rPr>
              <w:t>0.327（不显著）</w:t>
            </w:r>
          </w:p>
        </w:tc>
      </w:tr>
      <w:tr>
        <w:tc>
          <w:tcPr>
            <w:tcW w:type="dxa" w:w="1662"/>
          </w:tcPr>
          <w:p>
            <w:pPr>
              <w:spacing w:line="240" w:lineRule="auto" w:before="20" w:after="20"/>
              <w:jc w:val="left"/>
            </w:pPr>
            <w:r/>
            <w:r>
              <w:rPr>
                <w:rFonts w:ascii="Times New Roman" w:hAnsi="Times New Roman" w:eastAsia="宋体"/>
                <w:b w:val="0"/>
                <w:color w:val="000000"/>
                <w:sz w:val="21"/>
              </w:rPr>
              <w:t>青椒</w:t>
            </w:r>
          </w:p>
        </w:tc>
        <w:tc>
          <w:tcPr>
            <w:tcW w:type="dxa" w:w="1662"/>
          </w:tcPr>
          <w:p>
            <w:pPr>
              <w:spacing w:line="240" w:lineRule="auto" w:before="20" w:after="20"/>
              <w:jc w:val="right"/>
            </w:pPr>
            <w:r/>
            <w:r>
              <w:rPr>
                <w:rFonts w:ascii="Times New Roman" w:hAnsi="Times New Roman" w:eastAsia="宋体"/>
                <w:b w:val="0"/>
                <w:color w:val="000000"/>
                <w:sz w:val="21"/>
              </w:rPr>
              <w:t>1.079</w:t>
            </w:r>
          </w:p>
        </w:tc>
        <w:tc>
          <w:tcPr>
            <w:tcW w:type="dxa" w:w="1662"/>
          </w:tcPr>
          <w:p>
            <w:pPr>
              <w:spacing w:line="240" w:lineRule="auto" w:before="20" w:after="20"/>
              <w:jc w:val="right"/>
            </w:pPr>
            <w:r/>
            <w:r>
              <w:rPr>
                <w:rFonts w:ascii="Times New Roman" w:hAnsi="Times New Roman" w:eastAsia="宋体"/>
                <w:b w:val="0"/>
                <w:color w:val="000000"/>
                <w:sz w:val="21"/>
              </w:rPr>
              <w:t>0.079</w:t>
            </w:r>
          </w:p>
        </w:tc>
        <w:tc>
          <w:tcPr>
            <w:tcW w:type="dxa" w:w="1662"/>
          </w:tcPr>
          <w:p>
            <w:pPr>
              <w:spacing w:line="240" w:lineRule="auto" w:before="20" w:after="20"/>
              <w:jc w:val="right"/>
            </w:pPr>
            <w:r/>
            <w:r>
              <w:rPr>
                <w:rFonts w:ascii="Times New Roman" w:hAnsi="Times New Roman" w:eastAsia="宋体"/>
                <w:b w:val="0"/>
                <w:color w:val="000000"/>
                <w:sz w:val="21"/>
              </w:rPr>
              <w:t>−2.42</w:t>
            </w:r>
          </w:p>
        </w:tc>
        <w:tc>
          <w:tcPr>
            <w:tcW w:type="dxa" w:w="1662"/>
          </w:tcPr>
          <w:p>
            <w:pPr>
              <w:spacing w:line="240" w:lineRule="auto" w:before="20" w:after="20"/>
              <w:jc w:val="left"/>
            </w:pPr>
            <w:r/>
            <w:r>
              <w:rPr>
                <w:rFonts w:ascii="Times New Roman" w:hAnsi="Times New Roman" w:eastAsia="宋体"/>
                <w:b w:val="0"/>
                <w:color w:val="000000"/>
                <w:sz w:val="21"/>
              </w:rPr>
              <w:t>0.451（不显著）</w:t>
            </w:r>
          </w:p>
        </w:tc>
      </w:tr>
      <w:tr>
        <w:tc>
          <w:tcPr>
            <w:tcW w:type="dxa" w:w="1662"/>
          </w:tcPr>
          <w:p>
            <w:pPr>
              <w:spacing w:line="240" w:lineRule="auto" w:before="20" w:after="20"/>
              <w:jc w:val="left"/>
            </w:pPr>
            <w:r/>
            <w:r>
              <w:rPr>
                <w:rFonts w:ascii="Times New Roman" w:hAnsi="Times New Roman" w:eastAsia="宋体"/>
                <w:b w:val="0"/>
                <w:color w:val="000000"/>
                <w:sz w:val="21"/>
              </w:rPr>
              <w:t>尖椒</w:t>
            </w:r>
          </w:p>
        </w:tc>
        <w:tc>
          <w:tcPr>
            <w:tcW w:type="dxa" w:w="1662"/>
          </w:tcPr>
          <w:p>
            <w:pPr>
              <w:spacing w:line="240" w:lineRule="auto" w:before="20" w:after="20"/>
              <w:jc w:val="right"/>
            </w:pPr>
            <w:r/>
            <w:r>
              <w:rPr>
                <w:rFonts w:ascii="Times New Roman" w:hAnsi="Times New Roman" w:eastAsia="宋体"/>
                <w:b w:val="0"/>
                <w:color w:val="000000"/>
                <w:sz w:val="21"/>
              </w:rPr>
              <w:t>0.998</w:t>
            </w:r>
          </w:p>
        </w:tc>
        <w:tc>
          <w:tcPr>
            <w:tcW w:type="dxa" w:w="1662"/>
          </w:tcPr>
          <w:p>
            <w:pPr>
              <w:spacing w:line="240" w:lineRule="auto" w:before="20" w:after="20"/>
              <w:jc w:val="right"/>
            </w:pPr>
            <w:r/>
            <w:r>
              <w:rPr>
                <w:rFonts w:ascii="Times New Roman" w:hAnsi="Times New Roman" w:eastAsia="宋体"/>
                <w:b w:val="0"/>
                <w:color w:val="000000"/>
                <w:sz w:val="21"/>
              </w:rPr>
              <w:t>0.059</w:t>
            </w:r>
          </w:p>
        </w:tc>
        <w:tc>
          <w:tcPr>
            <w:tcW w:type="dxa" w:w="1662"/>
          </w:tcPr>
          <w:p>
            <w:pPr>
              <w:spacing w:line="240" w:lineRule="auto" w:before="20" w:after="20"/>
              <w:jc w:val="right"/>
            </w:pPr>
            <w:r/>
            <w:r>
              <w:rPr>
                <w:rFonts w:ascii="Times New Roman" w:hAnsi="Times New Roman" w:eastAsia="宋体"/>
                <w:b w:val="0"/>
                <w:color w:val="000000"/>
                <w:sz w:val="21"/>
              </w:rPr>
              <w:t>−0.53</w:t>
            </w:r>
          </w:p>
        </w:tc>
        <w:tc>
          <w:tcPr>
            <w:tcW w:type="dxa" w:w="1662"/>
          </w:tcPr>
          <w:p>
            <w:pPr>
              <w:spacing w:line="240" w:lineRule="auto" w:before="20" w:after="20"/>
              <w:jc w:val="left"/>
            </w:pPr>
            <w:r/>
            <w:r>
              <w:rPr>
                <w:rFonts w:ascii="Times New Roman" w:hAnsi="Times New Roman" w:eastAsia="宋体"/>
                <w:b w:val="0"/>
                <w:color w:val="000000"/>
                <w:sz w:val="21"/>
              </w:rPr>
              <w:t>0.846（不显著）</w:t>
            </w:r>
          </w:p>
        </w:tc>
      </w:tr>
      <w:tr>
        <w:tc>
          <w:tcPr>
            <w:tcW w:type="dxa" w:w="1662"/>
          </w:tcPr>
          <w:p>
            <w:pPr>
              <w:spacing w:line="240" w:lineRule="auto" w:before="20" w:after="20"/>
              <w:jc w:val="left"/>
            </w:pPr>
            <w:r/>
            <w:r>
              <w:rPr>
                <w:rFonts w:ascii="Times New Roman" w:hAnsi="Times New Roman" w:eastAsia="宋体"/>
                <w:b w:val="0"/>
                <w:color w:val="000000"/>
                <w:sz w:val="21"/>
              </w:rPr>
              <w:t>茄子</w:t>
            </w:r>
          </w:p>
        </w:tc>
        <w:tc>
          <w:tcPr>
            <w:tcW w:type="dxa" w:w="1662"/>
          </w:tcPr>
          <w:p>
            <w:pPr>
              <w:spacing w:line="240" w:lineRule="auto" w:before="20" w:after="20"/>
              <w:jc w:val="right"/>
            </w:pPr>
            <w:r/>
            <w:r>
              <w:rPr>
                <w:rFonts w:ascii="Times New Roman" w:hAnsi="Times New Roman" w:eastAsia="宋体"/>
                <w:b w:val="0"/>
                <w:color w:val="000000"/>
                <w:sz w:val="21"/>
              </w:rPr>
              <w:t>0.771</w:t>
            </w:r>
          </w:p>
        </w:tc>
        <w:tc>
          <w:tcPr>
            <w:tcW w:type="dxa" w:w="1662"/>
          </w:tcPr>
          <w:p>
            <w:pPr>
              <w:spacing w:line="240" w:lineRule="auto" w:before="20" w:after="20"/>
              <w:jc w:val="right"/>
            </w:pPr>
            <w:r/>
            <w:r>
              <w:rPr>
                <w:rFonts w:ascii="Times New Roman" w:hAnsi="Times New Roman" w:eastAsia="宋体"/>
                <w:b w:val="0"/>
                <w:color w:val="000000"/>
                <w:sz w:val="21"/>
              </w:rPr>
              <w:t>0.075</w:t>
            </w:r>
          </w:p>
        </w:tc>
        <w:tc>
          <w:tcPr>
            <w:tcW w:type="dxa" w:w="1662"/>
          </w:tcPr>
          <w:p>
            <w:pPr>
              <w:spacing w:line="240" w:lineRule="auto" w:before="20" w:after="20"/>
              <w:jc w:val="right"/>
            </w:pPr>
            <w:r/>
            <w:r>
              <w:rPr>
                <w:rFonts w:ascii="Times New Roman" w:hAnsi="Times New Roman" w:eastAsia="宋体"/>
                <w:b w:val="0"/>
                <w:color w:val="000000"/>
                <w:sz w:val="21"/>
              </w:rPr>
              <w:t>−3.90</w:t>
            </w:r>
          </w:p>
        </w:tc>
        <w:tc>
          <w:tcPr>
            <w:tcW w:type="dxa" w:w="1662"/>
          </w:tcPr>
          <w:p>
            <w:pPr>
              <w:spacing w:line="240" w:lineRule="auto" w:before="20" w:after="20"/>
              <w:jc w:val="left"/>
            </w:pPr>
            <w:r/>
            <w:r>
              <w:rPr>
                <w:rFonts w:ascii="Times New Roman" w:hAnsi="Times New Roman" w:eastAsia="宋体"/>
                <w:b w:val="0"/>
                <w:color w:val="000000"/>
                <w:sz w:val="21"/>
              </w:rPr>
              <w:t>0.166（不显著）</w:t>
            </w:r>
          </w:p>
        </w:tc>
      </w:tr>
      <w:tr>
        <w:tc>
          <w:tcPr>
            <w:tcW w:type="dxa" w:w="1662"/>
          </w:tcPr>
          <w:p>
            <w:pPr>
              <w:spacing w:line="240" w:lineRule="auto" w:before="20" w:after="20"/>
              <w:jc w:val="left"/>
            </w:pPr>
            <w:r/>
            <w:r>
              <w:rPr>
                <w:rFonts w:ascii="Times New Roman" w:hAnsi="Times New Roman" w:eastAsia="宋体"/>
                <w:b w:val="0"/>
                <w:color w:val="000000"/>
                <w:sz w:val="21"/>
              </w:rPr>
              <w:t>芹菜</w:t>
            </w:r>
          </w:p>
        </w:tc>
        <w:tc>
          <w:tcPr>
            <w:tcW w:type="dxa" w:w="1662"/>
          </w:tcPr>
          <w:p>
            <w:pPr>
              <w:spacing w:line="240" w:lineRule="auto" w:before="20" w:after="20"/>
              <w:jc w:val="right"/>
            </w:pPr>
            <w:r/>
            <w:r>
              <w:rPr>
                <w:rFonts w:ascii="Times New Roman" w:hAnsi="Times New Roman" w:eastAsia="宋体"/>
                <w:b w:val="0"/>
                <w:color w:val="000000"/>
                <w:sz w:val="21"/>
              </w:rPr>
              <w:t>0.345</w:t>
            </w:r>
          </w:p>
        </w:tc>
        <w:tc>
          <w:tcPr>
            <w:tcW w:type="dxa" w:w="1662"/>
          </w:tcPr>
          <w:p>
            <w:pPr>
              <w:spacing w:line="240" w:lineRule="auto" w:before="20" w:after="20"/>
              <w:jc w:val="right"/>
            </w:pPr>
            <w:r/>
            <w:r>
              <w:rPr>
                <w:rFonts w:ascii="Times New Roman" w:hAnsi="Times New Roman" w:eastAsia="宋体"/>
                <w:b w:val="0"/>
                <w:color w:val="000000"/>
                <w:sz w:val="21"/>
              </w:rPr>
              <w:t>0.056</w:t>
            </w:r>
          </w:p>
        </w:tc>
        <w:tc>
          <w:tcPr>
            <w:tcW w:type="dxa" w:w="1662"/>
          </w:tcPr>
          <w:p>
            <w:pPr>
              <w:spacing w:line="240" w:lineRule="auto" w:before="20" w:after="20"/>
              <w:jc w:val="right"/>
            </w:pPr>
            <w:r/>
            <w:r>
              <w:rPr>
                <w:rFonts w:ascii="Times New Roman" w:hAnsi="Times New Roman" w:eastAsia="宋体"/>
                <w:b w:val="0"/>
                <w:color w:val="000000"/>
                <w:sz w:val="21"/>
              </w:rPr>
              <w:t>+0.58</w:t>
            </w:r>
          </w:p>
        </w:tc>
        <w:tc>
          <w:tcPr>
            <w:tcW w:type="dxa" w:w="1662"/>
          </w:tcPr>
          <w:p>
            <w:pPr>
              <w:spacing w:line="240" w:lineRule="auto" w:before="20" w:after="20"/>
              <w:jc w:val="left"/>
            </w:pPr>
            <w:r/>
            <w:r>
              <w:rPr>
                <w:rFonts w:ascii="Times New Roman" w:hAnsi="Times New Roman" w:eastAsia="宋体"/>
                <w:b w:val="0"/>
                <w:color w:val="000000"/>
                <w:sz w:val="21"/>
              </w:rPr>
              <w:t>0.796（不显著）</w:t>
            </w:r>
          </w:p>
        </w:tc>
      </w:tr>
      <w:tr>
        <w:tc>
          <w:tcPr>
            <w:tcW w:type="dxa" w:w="1662"/>
          </w:tcPr>
          <w:p>
            <w:pPr>
              <w:spacing w:line="240" w:lineRule="auto" w:before="20" w:after="20"/>
              <w:jc w:val="left"/>
            </w:pPr>
            <w:r/>
            <w:r>
              <w:rPr>
                <w:rFonts w:ascii="Times New Roman" w:hAnsi="Times New Roman" w:eastAsia="宋体"/>
                <w:b w:val="0"/>
                <w:color w:val="000000"/>
                <w:sz w:val="21"/>
              </w:rPr>
              <w:t>芸豆</w:t>
            </w:r>
          </w:p>
        </w:tc>
        <w:tc>
          <w:tcPr>
            <w:tcW w:type="dxa" w:w="1662"/>
          </w:tcPr>
          <w:p>
            <w:pPr>
              <w:spacing w:line="240" w:lineRule="auto" w:before="20" w:after="20"/>
              <w:jc w:val="right"/>
            </w:pPr>
            <w:r/>
            <w:r>
              <w:rPr>
                <w:rFonts w:ascii="Times New Roman" w:hAnsi="Times New Roman" w:eastAsia="宋体"/>
                <w:b w:val="0"/>
                <w:color w:val="000000"/>
                <w:sz w:val="21"/>
              </w:rPr>
              <w:t>0.505</w:t>
            </w:r>
          </w:p>
        </w:tc>
        <w:tc>
          <w:tcPr>
            <w:tcW w:type="dxa" w:w="1662"/>
          </w:tcPr>
          <w:p>
            <w:pPr>
              <w:spacing w:line="240" w:lineRule="auto" w:before="20" w:after="20"/>
              <w:jc w:val="right"/>
            </w:pPr>
            <w:r/>
            <w:r>
              <w:rPr>
                <w:rFonts w:ascii="Times New Roman" w:hAnsi="Times New Roman" w:eastAsia="宋体"/>
                <w:b w:val="0"/>
                <w:color w:val="000000"/>
                <w:sz w:val="21"/>
              </w:rPr>
              <w:t>0.082</w:t>
            </w:r>
          </w:p>
        </w:tc>
        <w:tc>
          <w:tcPr>
            <w:tcW w:type="dxa" w:w="1662"/>
          </w:tcPr>
          <w:p>
            <w:pPr>
              <w:spacing w:line="240" w:lineRule="auto" w:before="20" w:after="20"/>
              <w:jc w:val="right"/>
            </w:pPr>
            <w:r/>
            <w:r>
              <w:rPr>
                <w:rFonts w:ascii="Times New Roman" w:hAnsi="Times New Roman" w:eastAsia="宋体"/>
                <w:b w:val="0"/>
                <w:color w:val="000000"/>
                <w:sz w:val="21"/>
              </w:rPr>
              <w:t>−1.60</w:t>
            </w:r>
          </w:p>
        </w:tc>
        <w:tc>
          <w:tcPr>
            <w:tcW w:type="dxa" w:w="1662"/>
          </w:tcPr>
          <w:p>
            <w:pPr>
              <w:spacing w:line="240" w:lineRule="auto" w:before="20" w:after="20"/>
              <w:jc w:val="left"/>
            </w:pPr>
            <w:r/>
            <w:r>
              <w:rPr>
                <w:rFonts w:ascii="Times New Roman" w:hAnsi="Times New Roman" w:eastAsia="宋体"/>
                <w:b w:val="0"/>
                <w:color w:val="000000"/>
                <w:sz w:val="21"/>
              </w:rPr>
              <w:t>0.420（不显著）</w:t>
            </w:r>
          </w:p>
        </w:tc>
      </w:tr>
      <w:tr>
        <w:tc>
          <w:tcPr>
            <w:tcW w:type="dxa" w:w="1662"/>
          </w:tcPr>
          <w:p>
            <w:pPr>
              <w:spacing w:line="240" w:lineRule="auto" w:before="20" w:after="20"/>
              <w:jc w:val="left"/>
            </w:pPr>
            <w:r/>
            <w:r>
              <w:rPr>
                <w:rFonts w:ascii="Times New Roman" w:hAnsi="Times New Roman" w:eastAsia="宋体"/>
                <w:b w:val="0"/>
                <w:color w:val="000000"/>
                <w:sz w:val="21"/>
              </w:rPr>
              <w:t>甘蓝</w:t>
            </w:r>
          </w:p>
        </w:tc>
        <w:tc>
          <w:tcPr>
            <w:tcW w:type="dxa" w:w="1662"/>
          </w:tcPr>
          <w:p>
            <w:pPr>
              <w:spacing w:line="240" w:lineRule="auto" w:before="20" w:after="20"/>
              <w:jc w:val="right"/>
            </w:pPr>
            <w:r/>
            <w:r>
              <w:rPr>
                <w:rFonts w:ascii="Times New Roman" w:hAnsi="Times New Roman" w:eastAsia="宋体"/>
                <w:b w:val="0"/>
                <w:color w:val="000000"/>
                <w:sz w:val="21"/>
              </w:rPr>
              <w:t>0.779</w:t>
            </w:r>
          </w:p>
        </w:tc>
        <w:tc>
          <w:tcPr>
            <w:tcW w:type="dxa" w:w="1662"/>
          </w:tcPr>
          <w:p>
            <w:pPr>
              <w:spacing w:line="240" w:lineRule="auto" w:before="20" w:after="20"/>
              <w:jc w:val="right"/>
            </w:pPr>
            <w:r/>
            <w:r>
              <w:rPr>
                <w:rFonts w:ascii="Times New Roman" w:hAnsi="Times New Roman" w:eastAsia="宋体"/>
                <w:b w:val="0"/>
                <w:color w:val="000000"/>
                <w:sz w:val="21"/>
              </w:rPr>
              <w:t>0.121</w:t>
            </w:r>
          </w:p>
        </w:tc>
        <w:tc>
          <w:tcPr>
            <w:tcW w:type="dxa" w:w="1662"/>
          </w:tcPr>
          <w:p>
            <w:pPr>
              <w:spacing w:line="240" w:lineRule="auto" w:before="20" w:after="20"/>
              <w:jc w:val="right"/>
            </w:pPr>
            <w:r/>
            <w:r>
              <w:rPr>
                <w:rFonts w:ascii="Times New Roman" w:hAnsi="Times New Roman" w:eastAsia="宋体"/>
                <w:b w:val="0"/>
                <w:color w:val="000000"/>
                <w:sz w:val="21"/>
              </w:rPr>
              <w:t>−4.72</w:t>
            </w:r>
          </w:p>
        </w:tc>
        <w:tc>
          <w:tcPr>
            <w:tcW w:type="dxa" w:w="1662"/>
          </w:tcPr>
          <w:p>
            <w:pPr>
              <w:spacing w:line="240" w:lineRule="auto" w:before="20" w:after="20"/>
              <w:jc w:val="left"/>
            </w:pPr>
            <w:r/>
            <w:r>
              <w:rPr>
                <w:rFonts w:ascii="Times New Roman" w:hAnsi="Times New Roman" w:eastAsia="宋体"/>
                <w:b w:val="0"/>
                <w:color w:val="000000"/>
                <w:sz w:val="21"/>
              </w:rPr>
              <w:t>0.166（不显著）</w:t>
            </w:r>
          </w:p>
        </w:tc>
      </w:tr>
    </w:tbl>
    <w:p>
      <w:pPr>
        <w:spacing w:before="0"/>
      </w:pPr>
    </w:p>
    <w:p>
      <w:pPr>
        <w:spacing w:line="300" w:lineRule="auto" w:before="140" w:after="0"/>
        <w:ind w:firstLine="560"/>
        <w:jc w:val="left"/>
      </w:pPr>
      <w:r>
        <w:rPr>
          <w:rFonts w:ascii="Times New Roman" w:hAnsi="Times New Roman" w:eastAsia="宋体"/>
          <w:b w:val="0"/>
          <w:color w:val="000000"/>
          <w:sz w:val="28"/>
        </w:rPr>
        <w:t>注：价格趋势为对数价格对时间趋势的 HAC(14) 回归结果，q 值为 BH-FDR 校正后的多重检验 p 值。本节季节性数据引自本项目既有专题分析（窗口截至 2026-09-14，共 14 100 条观测），未在本轮冻结快照上独立复算；本文建模与回测使用截至 2026-10-06 的冻结快照（14 270 条观测），两者相差 17 个交易日，量级结论一致。</w:t>
      </w:r>
    </w:p>
    <w:p>
      <w:pPr>
        <w:pStyle w:val="Heading2"/>
        <w:spacing w:line="300" w:lineRule="auto" w:before="200" w:after="80"/>
      </w:pPr>
      <w:r>
        <w:rPr>
          <w:rFonts w:ascii="Times New Roman" w:hAnsi="Times New Roman" w:eastAsia="黑体"/>
          <w:b/>
          <w:color w:val="000000"/>
          <w:sz w:val="28"/>
        </w:rPr>
        <w:t>（二）趋势与结构性变化</w:t>
      </w:r>
    </w:p>
    <w:p>
      <w:pPr>
        <w:spacing w:line="300" w:lineRule="auto" w:before="140" w:after="0"/>
        <w:ind w:firstLine="560"/>
        <w:jc w:val="left"/>
      </w:pPr>
      <w:r>
        <w:rPr>
          <w:rFonts w:ascii="Times New Roman" w:hAnsi="Times New Roman" w:eastAsia="宋体"/>
          <w:b w:val="0"/>
          <w:color w:val="000000"/>
          <w:sz w:val="28"/>
        </w:rPr>
        <w:t>以对数价格对时间趋势做回归并采用 Newey-West/HAC 稳健标准误（滞后 14 期）[10,11]，在价格与成交量共 20 项趋势检验中，8 项经 BH-FDR 校正后显著。其中价格方面仅有土豆一项显著（−3.07%/年，q=0.0013），存在缓慢下行趋势；其余 7 项显著结果全部来自成交量的长期变化，方向不一（−4.50%/年至 +5.09%/年）。</w:t>
      </w:r>
    </w:p>
    <w:p>
      <w:pPr>
        <w:spacing w:line="300" w:lineRule="auto" w:before="140" w:after="0"/>
        <w:ind w:firstLine="560"/>
        <w:jc w:val="left"/>
      </w:pPr>
      <w:r>
        <w:rPr>
          <w:rFonts w:ascii="Times New Roman" w:hAnsi="Times New Roman" w:eastAsia="宋体"/>
          <w:b w:val="0"/>
          <w:color w:val="000000"/>
          <w:sz w:val="28"/>
        </w:rPr>
        <w:t>由于成交量单位未知，本文只报告其相对方向与幅度，不做绝对量解释。价格趋势检验 10 项中仅 1 项显著，这一结果本身也有信息：多数品种价格在样本期内没有稳定的单调趋势，其变化更多由季节与外部冲击主导，这与已有研究关于蔬菜价格以季节性波动与产地转换为主要特征的判断一致[6]。</w:t>
      </w:r>
    </w:p>
    <w:p>
      <w:pPr>
        <w:pStyle w:val="Heading2"/>
        <w:spacing w:line="300" w:lineRule="auto" w:before="200" w:after="80"/>
      </w:pPr>
      <w:r>
        <w:rPr>
          <w:rFonts w:ascii="Times New Roman" w:hAnsi="Times New Roman" w:eastAsia="黑体"/>
          <w:b/>
          <w:color w:val="000000"/>
          <w:sz w:val="28"/>
        </w:rPr>
        <w:t>（三）季节规律对后续设计的三点约束</w:t>
      </w:r>
    </w:p>
    <w:p>
      <w:pPr>
        <w:spacing w:line="300" w:lineRule="auto" w:before="140" w:after="0"/>
        <w:ind w:firstLine="560"/>
        <w:jc w:val="left"/>
      </w:pPr>
      <w:r>
        <w:rPr>
          <w:rFonts w:ascii="Times New Roman" w:hAnsi="Times New Roman" w:eastAsia="宋体"/>
          <w:b w:val="0"/>
          <w:color w:val="000000"/>
          <w:sz w:val="28"/>
        </w:rPr>
        <w:t>第一，特征层面必须纳入时间位置与历史季节统计量（月份、周序、年内日序编码，同月分位数），否则模型会把季节波动误判为趋势或冲击。第二，策略层面，季节信息本身可能就是一个有竞争力的规则，因此季节策略是不可省略的对照。第三，评价层面，比较策略或品种收益时必须控制季节位置，否则复杂模型的优势可能只来自它更倾向在有利季节建仓。第三点直接决定了第六节的设计。</w:t>
      </w:r>
    </w:p>
    <w:p>
      <w:pPr>
        <w:pStyle w:val="Heading1"/>
        <w:spacing w:line="300" w:lineRule="auto" w:before="240" w:after="120"/>
        <w:jc w:val="left"/>
      </w:pPr>
      <w:r>
        <w:rPr>
          <w:rFonts w:ascii="Times New Roman" w:hAnsi="Times New Roman" w:eastAsia="黑体"/>
          <w:b/>
          <w:color w:val="000000"/>
          <w:sz w:val="30"/>
        </w:rPr>
        <w:t>四、价格预测模型</w:t>
      </w:r>
    </w:p>
    <w:p>
      <w:pPr>
        <w:pStyle w:val="Heading2"/>
        <w:spacing w:line="300" w:lineRule="auto" w:before="200" w:after="80"/>
      </w:pPr>
      <w:r>
        <w:rPr>
          <w:rFonts w:ascii="Times New Roman" w:hAnsi="Times New Roman" w:eastAsia="黑体"/>
          <w:b/>
          <w:color w:val="000000"/>
          <w:sz w:val="28"/>
        </w:rPr>
        <w:t>（一）两个决定方法设计的问题</w:t>
      </w:r>
    </w:p>
    <w:p>
      <w:pPr>
        <w:spacing w:line="300" w:lineRule="auto" w:before="140" w:after="0"/>
        <w:ind w:firstLine="560"/>
        <w:jc w:val="left"/>
      </w:pPr>
      <w:r>
        <w:rPr>
          <w:rFonts w:ascii="Times New Roman" w:hAnsi="Times New Roman" w:eastAsia="宋体"/>
          <w:b w:val="0"/>
          <w:color w:val="000000"/>
          <w:sz w:val="28"/>
        </w:rPr>
        <w:t>在列出具体模型之前，需要先说明两个问题，它们决定了本节的方法结构。</w:t>
      </w:r>
    </w:p>
    <w:p>
      <w:pPr>
        <w:spacing w:line="300" w:lineRule="auto" w:before="140" w:after="0"/>
        <w:ind w:firstLine="560"/>
        <w:jc w:val="left"/>
      </w:pPr>
      <w:r>
        <w:rPr>
          <w:rFonts w:ascii="Times New Roman" w:hAnsi="Times New Roman" w:eastAsia="宋体"/>
          <w:b/>
          <w:color w:val="000000"/>
          <w:sz w:val="28"/>
        </w:rPr>
        <w:t>第一个问题：模型的比较对象应当是谁？</w:t>
      </w:r>
      <w:r>
        <w:rPr>
          <w:rFonts w:ascii="Times New Roman" w:hAnsi="Times New Roman" w:eastAsia="宋体"/>
          <w:b w:val="0"/>
          <w:color w:val="000000"/>
          <w:sz w:val="28"/>
        </w:rPr>
        <w:t xml:space="preserve"> 既有农产品价格预测研究多在同一类方法内部比较优劣，而于晓华和刘爽比较 ARIMA 与三种神经网络后发现没有一个算法绝对占优，据此主张同时采用多种算法[7]。这意味着</w:t>
      </w:r>
      <w:r>
        <w:rPr>
          <w:rFonts w:ascii="Times New Roman" w:hAnsi="Times New Roman" w:eastAsia="宋体"/>
          <w:b/>
          <w:color w:val="000000"/>
          <w:sz w:val="28"/>
        </w:rPr>
        <w:t>"使用模型是否比不使用模型更好"本身就是一个需要检验的问题</w:t>
      </w:r>
      <w:r>
        <w:rPr>
          <w:rFonts w:ascii="Times New Roman" w:hAnsi="Times New Roman" w:eastAsia="宋体"/>
          <w:b w:val="0"/>
          <w:color w:val="000000"/>
          <w:sz w:val="28"/>
        </w:rPr>
        <w:t>。本文因此把五类朴素基线与机器学习模型放进同一候选池，每个品种只有战胜同池最优基线才采用模型，否则回退基线。</w:t>
      </w:r>
    </w:p>
    <w:p>
      <w:pPr>
        <w:spacing w:line="300" w:lineRule="auto" w:before="140" w:after="0"/>
        <w:ind w:firstLine="560"/>
        <w:jc w:val="left"/>
      </w:pPr>
      <w:r>
        <w:rPr>
          <w:rFonts w:ascii="Times New Roman" w:hAnsi="Times New Roman" w:eastAsia="宋体"/>
          <w:b/>
          <w:color w:val="000000"/>
          <w:sz w:val="28"/>
        </w:rPr>
        <w:t>第二个问题：评价要用什么样的样本外安排？</w:t>
      </w:r>
      <w:r>
        <w:rPr>
          <w:rFonts w:ascii="Times New Roman" w:hAnsi="Times New Roman" w:eastAsia="宋体"/>
          <w:b w:val="0"/>
          <w:color w:val="000000"/>
          <w:sz w:val="28"/>
        </w:rPr>
        <w:t xml:space="preserve"> 上述研究同时发现猪肉价格在 2018 年前后出现显著结构性变化，主张数据结构改变时更新模型[7]，这意味着一次性划分训练集与测试集会高估模型的稳定性。本文因此采用扩张窗口滚动回测，逐年更新训练样本并分别报告三个测试折；同时，由于预测目标是未来窗口的均值，本文对</w:t>
      </w:r>
      <w:r>
        <w:rPr>
          <w:rFonts w:ascii="Times New Roman" w:hAnsi="Times New Roman" w:eastAsia="宋体"/>
          <w:b/>
          <w:color w:val="000000"/>
          <w:sz w:val="28"/>
        </w:rPr>
        <w:t>标签的时间边界</w:t>
      </w:r>
      <w:r>
        <w:rPr>
          <w:rFonts w:ascii="Times New Roman" w:hAnsi="Times New Roman" w:eastAsia="宋体"/>
          <w:b w:val="0"/>
          <w:color w:val="000000"/>
          <w:sz w:val="28"/>
        </w:rPr>
        <w:t>单独作了处理（见第四（三）节）。</w:t>
      </w:r>
    </w:p>
    <w:p>
      <w:pPr>
        <w:pStyle w:val="Heading2"/>
        <w:spacing w:line="300" w:lineRule="auto" w:before="200" w:after="80"/>
      </w:pPr>
      <w:r>
        <w:rPr>
          <w:rFonts w:ascii="Times New Roman" w:hAnsi="Times New Roman" w:eastAsia="黑体"/>
          <w:b/>
          <w:color w:val="000000"/>
          <w:sz w:val="28"/>
        </w:rPr>
        <w:t>（二）特征工程与 point-in-time 约束</w:t>
      </w:r>
    </w:p>
    <w:p>
      <w:pPr>
        <w:spacing w:line="300" w:lineRule="auto" w:before="140" w:after="0"/>
        <w:ind w:firstLine="560"/>
        <w:jc w:val="left"/>
      </w:pPr>
      <w:r>
        <w:rPr>
          <w:rFonts w:ascii="Times New Roman" w:hAnsi="Times New Roman" w:eastAsia="宋体"/>
          <w:b w:val="0"/>
          <w:color w:val="000000"/>
          <w:sz w:val="28"/>
        </w:rPr>
        <w:t>预测特征共 63 项，分五组：价格自身历史（1、2、3、5、7、10、14、21、30、45、60、90 期观测滞后与 7、14、30、60、90 天日历滞后）；滑动统计（7/14/30/60/90 日移动平均，7/30 日中位数，7/30/60/90 日标准差）；动量与波动（多窗口收益率、30/60/90 日动量、连续上涨与下跌天数、滚动斜率、多窗口波动率）；回撤结构（30 日滚动最高价、30 日回撤、90 日最大回撤）；季节特征（扩张窗口价格分位、同月与同季价格分位、同月历史 P10/P50/P90、距季节中位数偏离、季节样本量与年份数）。</w:t>
      </w:r>
    </w:p>
    <w:p>
      <w:pPr>
        <w:spacing w:line="300" w:lineRule="auto" w:before="140" w:after="0"/>
        <w:ind w:firstLine="560"/>
        <w:jc w:val="left"/>
      </w:pPr>
      <w:r>
        <w:rPr>
          <w:rFonts w:ascii="Times New Roman" w:hAnsi="Times New Roman" w:eastAsia="宋体"/>
          <w:b w:val="0"/>
          <w:color w:val="000000"/>
          <w:sz w:val="28"/>
        </w:rPr>
        <w:t>所有特征遵守 point-in-time 原则。这一原则容易声称而难以保证，因为若干看似无害的操作都会引入泄漏：用全样本分位数做标准化、对滚动统计使用居中窗口、用未来窗口均值构造"季节水平"。为实证验证，本文实施截断不变性检验：把数据集截断到某个时点后重建全部特征，若特征只用过去信息，则截断前后同一天的取值应完全一致。检验在 2023-06-30 与 2024-06-30 两个截断点、63 项特征上进行，最大差异为 0，泄漏特征数为 0。</w:t>
      </w:r>
    </w:p>
    <w:p>
      <w:pPr>
        <w:pStyle w:val="Heading2"/>
        <w:spacing w:line="300" w:lineRule="auto" w:before="200" w:after="80"/>
      </w:pPr>
      <w:r>
        <w:rPr>
          <w:rFonts w:ascii="Times New Roman" w:hAnsi="Times New Roman" w:eastAsia="黑体"/>
          <w:b/>
          <w:color w:val="000000"/>
          <w:sz w:val="28"/>
        </w:rPr>
        <w:t>（三）候选模型与滚动回测</w:t>
      </w:r>
    </w:p>
    <w:p>
      <w:pPr>
        <w:spacing w:line="300" w:lineRule="auto" w:before="140" w:after="0"/>
        <w:ind w:firstLine="560"/>
        <w:jc w:val="left"/>
      </w:pPr>
      <w:r>
        <w:rPr>
          <w:rFonts w:ascii="Times New Roman" w:hAnsi="Times New Roman" w:eastAsia="宋体"/>
          <w:b w:val="0"/>
          <w:color w:val="000000"/>
          <w:sz w:val="28"/>
        </w:rPr>
        <w:t>机器学习候选包括 ElasticNet（含调参版本）[12]、ExtraTrees（含调参版本）[13]与 CatBoost[14]，评价指标沿用预测研究的通行做法，包括 WAPE、MAE、RMSE、sMAPE 与方向准确率[15]。</w:t>
      </w:r>
    </w:p>
    <w:p>
      <w:pPr>
        <w:spacing w:line="300" w:lineRule="auto" w:before="140" w:after="0"/>
        <w:ind w:firstLine="560"/>
        <w:jc w:val="left"/>
      </w:pPr>
      <w:r>
        <w:rPr>
          <w:rFonts w:ascii="Times New Roman" w:hAnsi="Times New Roman" w:eastAsia="宋体"/>
          <w:b w:val="0"/>
          <w:color w:val="000000"/>
          <w:sz w:val="28"/>
        </w:rPr>
        <w:t>模型评估采用扩张窗口滚动回测：折 1 训练至 2023-12-31、测试 2024 全年；折 2 训练至 2024-12-31、测试 2025 全年；折 3 训练至 2025-12-31、测试 2026-01-01 至 2026-09-14。</w:t>
      </w:r>
    </w:p>
    <w:p>
      <w:pPr>
        <w:spacing w:line="300" w:lineRule="auto" w:before="140" w:after="0"/>
        <w:ind w:firstLine="560"/>
        <w:jc w:val="left"/>
      </w:pPr>
      <w:r>
        <w:rPr>
          <w:rFonts w:ascii="Times New Roman" w:hAnsi="Times New Roman" w:eastAsia="宋体"/>
          <w:b/>
          <w:color w:val="000000"/>
          <w:sz w:val="28"/>
        </w:rPr>
        <w:t>标签边界是本节最关键的方法处理。</w:t>
      </w:r>
      <w:r>
        <w:rPr>
          <w:rFonts w:ascii="Times New Roman" w:hAnsi="Times New Roman" w:eastAsia="宋体"/>
          <w:b w:val="0"/>
          <w:color w:val="000000"/>
          <w:sz w:val="28"/>
        </w:rPr>
        <w:t xml:space="preserve"> 预测目标 `target_mean_price_next_hd` 取 (t, t+h] 区间的价格均值，其可获知日期是 t+h 而非 t。若按"训练样本日期不超过训练截止日"取样本，训练样本 2023-12-29 的标签会用到 2024 年 1 月的价格，既在训练截止时不可获得，又直接使用了测试期信息。本文因此实施 purge/embargo[16]：训练样本要求 t+h 不晚于训练截止日，测试样本要求 t+h 不晚于测试截止日；以 30 日目标为例，每折剔除约 200—220 条训练样本与 150—220 条测试样本（2%—3%）。剔除量不大，但被剔除的正是跨越边界、携带测试期价格信息的样本。</w:t>
      </w:r>
    </w:p>
    <w:p>
      <w:pPr>
        <w:spacing w:line="300" w:lineRule="auto" w:before="140" w:after="0"/>
        <w:ind w:firstLine="560"/>
        <w:jc w:val="left"/>
      </w:pPr>
      <w:r>
        <w:rPr>
          <w:rFonts w:ascii="Times New Roman" w:hAnsi="Times New Roman" w:eastAsia="宋体"/>
          <w:b w:val="0"/>
          <w:color w:val="000000"/>
          <w:sz w:val="28"/>
        </w:rPr>
        <w:t>模型选择准则为 `mean_WAPE + 0.5 × std_WAPE`，同时惩罚平均误差与跨折波动。这一准则尚未解决的一处设计局限是：模型选择使用的仍是与评估相同的样本外折，因此最终模型的精度包含选择偏差，其量级在第四（六）节单独测量。</w:t>
      </w:r>
    </w:p>
    <w:p>
      <w:pPr>
        <w:pStyle w:val="Heading2"/>
        <w:spacing w:line="300" w:lineRule="auto" w:before="200" w:after="80"/>
      </w:pPr>
      <w:r>
        <w:rPr>
          <w:rFonts w:ascii="Times New Roman" w:hAnsi="Times New Roman" w:eastAsia="黑体"/>
          <w:b/>
          <w:color w:val="000000"/>
          <w:sz w:val="28"/>
        </w:rPr>
        <w:t>（四）预测精度结果</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十种蔬菜 30 天窗口均价预测精度</w:t>
      </w:r>
    </w:p>
    <w:tbl>
      <w:tblPr>
        <w:tblStyle w:val="TableGrid"/>
        <w:tblW w:type="auto" w:w="0"/>
        <w:jc w:val="center"/>
        <w:tblLook w:firstColumn="1" w:firstRow="1" w:lastColumn="0" w:lastRow="0" w:noHBand="0" w:noVBand="1" w:val="04A0"/>
      </w:tblPr>
      <w:tblGrid>
        <w:gridCol w:w="1662"/>
        <w:gridCol w:w="1662"/>
        <w:gridCol w:w="1662"/>
        <w:gridCol w:w="1662"/>
        <w:gridCol w:w="1662"/>
      </w:tblGrid>
      <w:tr>
        <w:trPr>
          <w:tblHeader w:val="true"/>
        </w:trPr>
        <w:tc>
          <w:tcPr>
            <w:tcW w:type="dxa" w:w="1662"/>
          </w:tcPr>
          <w:p>
            <w:pPr>
              <w:spacing w:line="240" w:lineRule="auto" w:before="20" w:after="20"/>
              <w:jc w:val="center"/>
            </w:pPr>
            <w:r/>
            <w:r>
              <w:rPr>
                <w:rFonts w:ascii="Times New Roman" w:hAnsi="Times New Roman" w:eastAsia="宋体"/>
                <w:b/>
                <w:color w:val="000000"/>
                <w:sz w:val="21"/>
              </w:rPr>
              <w:t>品种</w:t>
            </w:r>
          </w:p>
        </w:tc>
        <w:tc>
          <w:tcPr>
            <w:tcW w:type="dxa" w:w="1662"/>
          </w:tcPr>
          <w:p>
            <w:pPr>
              <w:spacing w:line="240" w:lineRule="auto" w:before="20" w:after="20"/>
              <w:jc w:val="center"/>
            </w:pPr>
            <w:r/>
            <w:r>
              <w:rPr>
                <w:rFonts w:ascii="Times New Roman" w:hAnsi="Times New Roman" w:eastAsia="宋体"/>
                <w:b/>
                <w:color w:val="000000"/>
                <w:sz w:val="21"/>
              </w:rPr>
              <w:t>最终模型</w:t>
            </w:r>
          </w:p>
        </w:tc>
        <w:tc>
          <w:tcPr>
            <w:tcW w:type="dxa" w:w="1662"/>
          </w:tcPr>
          <w:p>
            <w:pPr>
              <w:spacing w:line="240" w:lineRule="auto" w:before="20" w:after="20"/>
              <w:jc w:val="center"/>
            </w:pPr>
            <w:r/>
            <w:r>
              <w:rPr>
                <w:rFonts w:ascii="Times New Roman" w:hAnsi="Times New Roman" w:eastAsia="宋体"/>
                <w:b/>
                <w:color w:val="000000"/>
                <w:sz w:val="21"/>
              </w:rPr>
              <w:t>模型 WAPE</w:t>
            </w:r>
          </w:p>
        </w:tc>
        <w:tc>
          <w:tcPr>
            <w:tcW w:type="dxa" w:w="1662"/>
          </w:tcPr>
          <w:p>
            <w:pPr>
              <w:spacing w:line="240" w:lineRule="auto" w:before="20" w:after="20"/>
              <w:jc w:val="center"/>
            </w:pPr>
            <w:r/>
            <w:r>
              <w:rPr>
                <w:rFonts w:ascii="Times New Roman" w:hAnsi="Times New Roman" w:eastAsia="宋体"/>
                <w:b/>
                <w:color w:val="000000"/>
                <w:sz w:val="21"/>
              </w:rPr>
              <w:t>最优基线 WAPE</w:t>
            </w:r>
          </w:p>
        </w:tc>
        <w:tc>
          <w:tcPr>
            <w:tcW w:type="dxa" w:w="1662"/>
          </w:tcPr>
          <w:p>
            <w:pPr>
              <w:spacing w:line="240" w:lineRule="auto" w:before="20" w:after="20"/>
              <w:jc w:val="center"/>
            </w:pPr>
            <w:r/>
            <w:r>
              <w:rPr>
                <w:rFonts w:ascii="Times New Roman" w:hAnsi="Times New Roman" w:eastAsia="宋体"/>
                <w:b/>
                <w:color w:val="000000"/>
                <w:sz w:val="21"/>
              </w:rPr>
              <w:t>相对基线改善</w:t>
            </w:r>
          </w:p>
        </w:tc>
      </w:tr>
      <w:tr>
        <w:tc>
          <w:tcPr>
            <w:tcW w:type="dxa" w:w="1662"/>
          </w:tcPr>
          <w:p>
            <w:pPr>
              <w:spacing w:line="240" w:lineRule="auto" w:before="20" w:after="20"/>
              <w:jc w:val="left"/>
            </w:pPr>
            <w:r/>
            <w:r>
              <w:rPr>
                <w:rFonts w:ascii="Times New Roman" w:hAnsi="Times New Roman" w:eastAsia="宋体"/>
                <w:b w:val="0"/>
                <w:color w:val="000000"/>
                <w:sz w:val="21"/>
              </w:rPr>
              <w:t>土豆</w:t>
            </w:r>
          </w:p>
        </w:tc>
        <w:tc>
          <w:tcPr>
            <w:tcW w:type="dxa" w:w="1662"/>
          </w:tcPr>
          <w:p>
            <w:pPr>
              <w:spacing w:line="240" w:lineRule="auto" w:before="20" w:after="20"/>
              <w:jc w:val="left"/>
            </w:pPr>
            <w:r/>
            <w:r>
              <w:rPr>
                <w:rFonts w:ascii="Times New Roman" w:hAnsi="Times New Roman" w:eastAsia="宋体"/>
                <w:b w:val="0"/>
                <w:color w:val="000000"/>
                <w:sz w:val="21"/>
              </w:rPr>
              <w:t>上一期价格（基线）</w:t>
            </w:r>
          </w:p>
        </w:tc>
        <w:tc>
          <w:tcPr>
            <w:tcW w:type="dxa" w:w="1662"/>
          </w:tcPr>
          <w:p>
            <w:pPr>
              <w:spacing w:line="240" w:lineRule="auto" w:before="20" w:after="20"/>
              <w:jc w:val="right"/>
            </w:pPr>
            <w:r/>
            <w:r>
              <w:rPr>
                <w:rFonts w:ascii="Times New Roman" w:hAnsi="Times New Roman" w:eastAsia="宋体"/>
                <w:b w:val="0"/>
                <w:color w:val="000000"/>
                <w:sz w:val="21"/>
              </w:rPr>
              <w:t>4.99%</w:t>
            </w:r>
          </w:p>
        </w:tc>
        <w:tc>
          <w:tcPr>
            <w:tcW w:type="dxa" w:w="1662"/>
          </w:tcPr>
          <w:p>
            <w:pPr>
              <w:spacing w:line="240" w:lineRule="auto" w:before="20" w:after="20"/>
              <w:jc w:val="right"/>
            </w:pPr>
            <w:r/>
            <w:r>
              <w:rPr>
                <w:rFonts w:ascii="Times New Roman" w:hAnsi="Times New Roman" w:eastAsia="宋体"/>
                <w:b w:val="0"/>
                <w:color w:val="000000"/>
                <w:sz w:val="21"/>
              </w:rPr>
              <w:t>4.99%</w:t>
            </w:r>
          </w:p>
        </w:tc>
        <w:tc>
          <w:tcPr>
            <w:tcW w:type="dxa" w:w="1662"/>
          </w:tcPr>
          <w:p>
            <w:pPr>
              <w:spacing w:line="240" w:lineRule="auto" w:before="20" w:after="20"/>
              <w:jc w:val="right"/>
            </w:pPr>
            <w:r/>
            <w:r>
              <w:rPr>
                <w:rFonts w:ascii="Times New Roman" w:hAnsi="Times New Roman" w:eastAsia="宋体"/>
                <w:b w:val="0"/>
                <w:color w:val="000000"/>
                <w:sz w:val="21"/>
              </w:rPr>
              <w:t>0.0%</w:t>
            </w:r>
          </w:p>
        </w:tc>
      </w:tr>
      <w:tr>
        <w:tc>
          <w:tcPr>
            <w:tcW w:type="dxa" w:w="1662"/>
          </w:tcPr>
          <w:p>
            <w:pPr>
              <w:spacing w:line="240" w:lineRule="auto" w:before="20" w:after="20"/>
              <w:jc w:val="left"/>
            </w:pPr>
            <w:r/>
            <w:r>
              <w:rPr>
                <w:rFonts w:ascii="Times New Roman" w:hAnsi="Times New Roman" w:eastAsia="宋体"/>
                <w:b w:val="0"/>
                <w:color w:val="000000"/>
                <w:sz w:val="21"/>
              </w:rPr>
              <w:t>芹菜</w:t>
            </w:r>
          </w:p>
        </w:tc>
        <w:tc>
          <w:tcPr>
            <w:tcW w:type="dxa" w:w="1662"/>
          </w:tcPr>
          <w:p>
            <w:pPr>
              <w:spacing w:line="240" w:lineRule="auto" w:before="20" w:after="20"/>
              <w:jc w:val="left"/>
            </w:pPr>
            <w:r/>
            <w:r>
              <w:rPr>
                <w:rFonts w:ascii="Times New Roman" w:hAnsi="Times New Roman" w:eastAsia="宋体"/>
                <w:b w:val="0"/>
                <w:color w:val="000000"/>
                <w:sz w:val="21"/>
              </w:rPr>
              <w:t>上一期价格（基线）</w:t>
            </w:r>
          </w:p>
        </w:tc>
        <w:tc>
          <w:tcPr>
            <w:tcW w:type="dxa" w:w="1662"/>
          </w:tcPr>
          <w:p>
            <w:pPr>
              <w:spacing w:line="240" w:lineRule="auto" w:before="20" w:after="20"/>
              <w:jc w:val="right"/>
            </w:pPr>
            <w:r/>
            <w:r>
              <w:rPr>
                <w:rFonts w:ascii="Times New Roman" w:hAnsi="Times New Roman" w:eastAsia="宋体"/>
                <w:b w:val="0"/>
                <w:color w:val="000000"/>
                <w:sz w:val="21"/>
              </w:rPr>
              <w:t>11.36%</w:t>
            </w:r>
          </w:p>
        </w:tc>
        <w:tc>
          <w:tcPr>
            <w:tcW w:type="dxa" w:w="1662"/>
          </w:tcPr>
          <w:p>
            <w:pPr>
              <w:spacing w:line="240" w:lineRule="auto" w:before="20" w:after="20"/>
              <w:jc w:val="right"/>
            </w:pPr>
            <w:r/>
            <w:r>
              <w:rPr>
                <w:rFonts w:ascii="Times New Roman" w:hAnsi="Times New Roman" w:eastAsia="宋体"/>
                <w:b w:val="0"/>
                <w:color w:val="000000"/>
                <w:sz w:val="21"/>
              </w:rPr>
              <w:t>11.36%</w:t>
            </w:r>
          </w:p>
        </w:tc>
        <w:tc>
          <w:tcPr>
            <w:tcW w:type="dxa" w:w="1662"/>
          </w:tcPr>
          <w:p>
            <w:pPr>
              <w:spacing w:line="240" w:lineRule="auto" w:before="20" w:after="20"/>
              <w:jc w:val="right"/>
            </w:pPr>
            <w:r/>
            <w:r>
              <w:rPr>
                <w:rFonts w:ascii="Times New Roman" w:hAnsi="Times New Roman" w:eastAsia="宋体"/>
                <w:b w:val="0"/>
                <w:color w:val="000000"/>
                <w:sz w:val="21"/>
              </w:rPr>
              <w:t>0.0%</w:t>
            </w:r>
          </w:p>
        </w:tc>
      </w:tr>
      <w:tr>
        <w:tc>
          <w:tcPr>
            <w:tcW w:type="dxa" w:w="1662"/>
          </w:tcPr>
          <w:p>
            <w:pPr>
              <w:spacing w:line="240" w:lineRule="auto" w:before="20" w:after="20"/>
              <w:jc w:val="left"/>
            </w:pPr>
            <w:r/>
            <w:r>
              <w:rPr>
                <w:rFonts w:ascii="Times New Roman" w:hAnsi="Times New Roman" w:eastAsia="宋体"/>
                <w:b w:val="0"/>
                <w:color w:val="000000"/>
                <w:sz w:val="21"/>
              </w:rPr>
              <w:t>甘蓝</w:t>
            </w:r>
          </w:p>
        </w:tc>
        <w:tc>
          <w:tcPr>
            <w:tcW w:type="dxa" w:w="1662"/>
          </w:tcPr>
          <w:p>
            <w:pPr>
              <w:spacing w:line="240" w:lineRule="auto" w:before="20" w:after="20"/>
              <w:jc w:val="left"/>
            </w:pPr>
            <w:r/>
            <w:r>
              <w:rPr>
                <w:rFonts w:ascii="Times New Roman" w:hAnsi="Times New Roman" w:eastAsia="宋体"/>
                <w:b w:val="0"/>
                <w:color w:val="000000"/>
                <w:sz w:val="21"/>
              </w:rPr>
              <w:t>上一期价格（基线）</w:t>
            </w:r>
          </w:p>
        </w:tc>
        <w:tc>
          <w:tcPr>
            <w:tcW w:type="dxa" w:w="1662"/>
          </w:tcPr>
          <w:p>
            <w:pPr>
              <w:spacing w:line="240" w:lineRule="auto" w:before="20" w:after="20"/>
              <w:jc w:val="right"/>
            </w:pPr>
            <w:r/>
            <w:r>
              <w:rPr>
                <w:rFonts w:ascii="Times New Roman" w:hAnsi="Times New Roman" w:eastAsia="宋体"/>
                <w:b w:val="0"/>
                <w:color w:val="000000"/>
                <w:sz w:val="21"/>
              </w:rPr>
              <w:t>13.87%</w:t>
            </w:r>
          </w:p>
        </w:tc>
        <w:tc>
          <w:tcPr>
            <w:tcW w:type="dxa" w:w="1662"/>
          </w:tcPr>
          <w:p>
            <w:pPr>
              <w:spacing w:line="240" w:lineRule="auto" w:before="20" w:after="20"/>
              <w:jc w:val="right"/>
            </w:pPr>
            <w:r/>
            <w:r>
              <w:rPr>
                <w:rFonts w:ascii="Times New Roman" w:hAnsi="Times New Roman" w:eastAsia="宋体"/>
                <w:b w:val="0"/>
                <w:color w:val="000000"/>
                <w:sz w:val="21"/>
              </w:rPr>
              <w:t>13.87%</w:t>
            </w:r>
          </w:p>
        </w:tc>
        <w:tc>
          <w:tcPr>
            <w:tcW w:type="dxa" w:w="1662"/>
          </w:tcPr>
          <w:p>
            <w:pPr>
              <w:spacing w:line="240" w:lineRule="auto" w:before="20" w:after="20"/>
              <w:jc w:val="right"/>
            </w:pPr>
            <w:r/>
            <w:r>
              <w:rPr>
                <w:rFonts w:ascii="Times New Roman" w:hAnsi="Times New Roman" w:eastAsia="宋体"/>
                <w:b w:val="0"/>
                <w:color w:val="000000"/>
                <w:sz w:val="21"/>
              </w:rPr>
              <w:t>0.0%</w:t>
            </w:r>
          </w:p>
        </w:tc>
      </w:tr>
      <w:tr>
        <w:tc>
          <w:tcPr>
            <w:tcW w:type="dxa" w:w="1662"/>
          </w:tcPr>
          <w:p>
            <w:pPr>
              <w:spacing w:line="240" w:lineRule="auto" w:before="20" w:after="20"/>
              <w:jc w:val="left"/>
            </w:pPr>
            <w:r/>
            <w:r>
              <w:rPr>
                <w:rFonts w:ascii="Times New Roman" w:hAnsi="Times New Roman" w:eastAsia="宋体"/>
                <w:b w:val="0"/>
                <w:color w:val="000000"/>
                <w:sz w:val="21"/>
              </w:rPr>
              <w:t>青椒</w:t>
            </w:r>
          </w:p>
        </w:tc>
        <w:tc>
          <w:tcPr>
            <w:tcW w:type="dxa" w:w="1662"/>
          </w:tcPr>
          <w:p>
            <w:pPr>
              <w:spacing w:line="240" w:lineRule="auto" w:before="20" w:after="20"/>
              <w:jc w:val="left"/>
            </w:pPr>
            <w:r/>
            <w:r>
              <w:rPr>
                <w:rFonts w:ascii="Times New Roman" w:hAnsi="Times New Roman" w:eastAsia="宋体"/>
                <w:b w:val="0"/>
                <w:color w:val="000000"/>
                <w:sz w:val="21"/>
              </w:rPr>
              <w:t>ElasticNet</w:t>
            </w:r>
          </w:p>
        </w:tc>
        <w:tc>
          <w:tcPr>
            <w:tcW w:type="dxa" w:w="1662"/>
          </w:tcPr>
          <w:p>
            <w:pPr>
              <w:spacing w:line="240" w:lineRule="auto" w:before="20" w:after="20"/>
              <w:jc w:val="right"/>
            </w:pPr>
            <w:r/>
            <w:r>
              <w:rPr>
                <w:rFonts w:ascii="Times New Roman" w:hAnsi="Times New Roman" w:eastAsia="宋体"/>
                <w:b w:val="0"/>
                <w:color w:val="000000"/>
                <w:sz w:val="21"/>
              </w:rPr>
              <w:t>12.64%</w:t>
            </w:r>
          </w:p>
        </w:tc>
        <w:tc>
          <w:tcPr>
            <w:tcW w:type="dxa" w:w="1662"/>
          </w:tcPr>
          <w:p>
            <w:pPr>
              <w:spacing w:line="240" w:lineRule="auto" w:before="20" w:after="20"/>
              <w:jc w:val="right"/>
            </w:pPr>
            <w:r/>
            <w:r>
              <w:rPr>
                <w:rFonts w:ascii="Times New Roman" w:hAnsi="Times New Roman" w:eastAsia="宋体"/>
                <w:b w:val="0"/>
                <w:color w:val="000000"/>
                <w:sz w:val="21"/>
              </w:rPr>
              <w:t>12.99%</w:t>
            </w:r>
          </w:p>
        </w:tc>
        <w:tc>
          <w:tcPr>
            <w:tcW w:type="dxa" w:w="1662"/>
          </w:tcPr>
          <w:p>
            <w:pPr>
              <w:spacing w:line="240" w:lineRule="auto" w:before="20" w:after="20"/>
              <w:jc w:val="right"/>
            </w:pPr>
            <w:r/>
            <w:r>
              <w:rPr>
                <w:rFonts w:ascii="Times New Roman" w:hAnsi="Times New Roman" w:eastAsia="宋体"/>
                <w:b w:val="0"/>
                <w:color w:val="000000"/>
                <w:sz w:val="21"/>
              </w:rPr>
              <w:t>2.7%</w:t>
            </w:r>
          </w:p>
        </w:tc>
      </w:tr>
      <w:tr>
        <w:tc>
          <w:tcPr>
            <w:tcW w:type="dxa" w:w="1662"/>
          </w:tcPr>
          <w:p>
            <w:pPr>
              <w:spacing w:line="240" w:lineRule="auto" w:before="20" w:after="20"/>
              <w:jc w:val="left"/>
            </w:pPr>
            <w:r/>
            <w:r>
              <w:rPr>
                <w:rFonts w:ascii="Times New Roman" w:hAnsi="Times New Roman" w:eastAsia="宋体"/>
                <w:b w:val="0"/>
                <w:color w:val="000000"/>
                <w:sz w:val="21"/>
              </w:rPr>
              <w:t>茄子</w:t>
            </w:r>
          </w:p>
        </w:tc>
        <w:tc>
          <w:tcPr>
            <w:tcW w:type="dxa" w:w="1662"/>
          </w:tcPr>
          <w:p>
            <w:pPr>
              <w:spacing w:line="240" w:lineRule="auto" w:before="20" w:after="20"/>
              <w:jc w:val="left"/>
            </w:pPr>
            <w:r/>
            <w:r>
              <w:rPr>
                <w:rFonts w:ascii="Times New Roman" w:hAnsi="Times New Roman" w:eastAsia="宋体"/>
                <w:b w:val="0"/>
                <w:color w:val="000000"/>
                <w:sz w:val="21"/>
              </w:rPr>
              <w:t>ElasticNet（调参）</w:t>
            </w:r>
          </w:p>
        </w:tc>
        <w:tc>
          <w:tcPr>
            <w:tcW w:type="dxa" w:w="1662"/>
          </w:tcPr>
          <w:p>
            <w:pPr>
              <w:spacing w:line="240" w:lineRule="auto" w:before="20" w:after="20"/>
              <w:jc w:val="right"/>
            </w:pPr>
            <w:r/>
            <w:r>
              <w:rPr>
                <w:rFonts w:ascii="Times New Roman" w:hAnsi="Times New Roman" w:eastAsia="宋体"/>
                <w:b w:val="0"/>
                <w:color w:val="000000"/>
                <w:sz w:val="21"/>
              </w:rPr>
              <w:t>11.62%</w:t>
            </w:r>
          </w:p>
        </w:tc>
        <w:tc>
          <w:tcPr>
            <w:tcW w:type="dxa" w:w="1662"/>
          </w:tcPr>
          <w:p>
            <w:pPr>
              <w:spacing w:line="240" w:lineRule="auto" w:before="20" w:after="20"/>
              <w:jc w:val="right"/>
            </w:pPr>
            <w:r/>
            <w:r>
              <w:rPr>
                <w:rFonts w:ascii="Times New Roman" w:hAnsi="Times New Roman" w:eastAsia="宋体"/>
                <w:b w:val="0"/>
                <w:color w:val="000000"/>
                <w:sz w:val="21"/>
              </w:rPr>
              <w:t>12.22%</w:t>
            </w:r>
          </w:p>
        </w:tc>
        <w:tc>
          <w:tcPr>
            <w:tcW w:type="dxa" w:w="1662"/>
          </w:tcPr>
          <w:p>
            <w:pPr>
              <w:spacing w:line="240" w:lineRule="auto" w:before="20" w:after="20"/>
              <w:jc w:val="right"/>
            </w:pPr>
            <w:r/>
            <w:r>
              <w:rPr>
                <w:rFonts w:ascii="Times New Roman" w:hAnsi="Times New Roman" w:eastAsia="宋体"/>
                <w:b w:val="0"/>
                <w:color w:val="000000"/>
                <w:sz w:val="21"/>
              </w:rPr>
              <w:t>4.9%</w:t>
            </w:r>
          </w:p>
        </w:tc>
      </w:tr>
      <w:tr>
        <w:tc>
          <w:tcPr>
            <w:tcW w:type="dxa" w:w="1662"/>
          </w:tcPr>
          <w:p>
            <w:pPr>
              <w:spacing w:line="240" w:lineRule="auto" w:before="20" w:after="20"/>
              <w:jc w:val="left"/>
            </w:pPr>
            <w:r/>
            <w:r>
              <w:rPr>
                <w:rFonts w:ascii="Times New Roman" w:hAnsi="Times New Roman" w:eastAsia="宋体"/>
                <w:b w:val="0"/>
                <w:color w:val="000000"/>
                <w:sz w:val="21"/>
              </w:rPr>
              <w:t>尖椒</w:t>
            </w:r>
          </w:p>
        </w:tc>
        <w:tc>
          <w:tcPr>
            <w:tcW w:type="dxa" w:w="1662"/>
          </w:tcPr>
          <w:p>
            <w:pPr>
              <w:spacing w:line="240" w:lineRule="auto" w:before="20" w:after="20"/>
              <w:jc w:val="left"/>
            </w:pPr>
            <w:r/>
            <w:r>
              <w:rPr>
                <w:rFonts w:ascii="Times New Roman" w:hAnsi="Times New Roman" w:eastAsia="宋体"/>
                <w:b w:val="0"/>
                <w:color w:val="000000"/>
                <w:sz w:val="21"/>
              </w:rPr>
              <w:t>ElasticNet</w:t>
            </w:r>
          </w:p>
        </w:tc>
        <w:tc>
          <w:tcPr>
            <w:tcW w:type="dxa" w:w="1662"/>
          </w:tcPr>
          <w:p>
            <w:pPr>
              <w:spacing w:line="240" w:lineRule="auto" w:before="20" w:after="20"/>
              <w:jc w:val="right"/>
            </w:pPr>
            <w:r/>
            <w:r>
              <w:rPr>
                <w:rFonts w:ascii="Times New Roman" w:hAnsi="Times New Roman" w:eastAsia="宋体"/>
                <w:b w:val="0"/>
                <w:color w:val="000000"/>
                <w:sz w:val="21"/>
              </w:rPr>
              <w:t>11.64%</w:t>
            </w:r>
          </w:p>
        </w:tc>
        <w:tc>
          <w:tcPr>
            <w:tcW w:type="dxa" w:w="1662"/>
          </w:tcPr>
          <w:p>
            <w:pPr>
              <w:spacing w:line="240" w:lineRule="auto" w:before="20" w:after="20"/>
              <w:jc w:val="right"/>
            </w:pPr>
            <w:r/>
            <w:r>
              <w:rPr>
                <w:rFonts w:ascii="Times New Roman" w:hAnsi="Times New Roman" w:eastAsia="宋体"/>
                <w:b w:val="0"/>
                <w:color w:val="000000"/>
                <w:sz w:val="21"/>
              </w:rPr>
              <w:t>13.18%</w:t>
            </w:r>
          </w:p>
        </w:tc>
        <w:tc>
          <w:tcPr>
            <w:tcW w:type="dxa" w:w="1662"/>
          </w:tcPr>
          <w:p>
            <w:pPr>
              <w:spacing w:line="240" w:lineRule="auto" w:before="20" w:after="20"/>
              <w:jc w:val="right"/>
            </w:pPr>
            <w:r/>
            <w:r>
              <w:rPr>
                <w:rFonts w:ascii="Times New Roman" w:hAnsi="Times New Roman" w:eastAsia="宋体"/>
                <w:b w:val="0"/>
                <w:color w:val="000000"/>
                <w:sz w:val="21"/>
              </w:rPr>
              <w:t>11.7%</w:t>
            </w:r>
          </w:p>
        </w:tc>
      </w:tr>
      <w:tr>
        <w:tc>
          <w:tcPr>
            <w:tcW w:type="dxa" w:w="1662"/>
          </w:tcPr>
          <w:p>
            <w:pPr>
              <w:spacing w:line="240" w:lineRule="auto" w:before="20" w:after="20"/>
              <w:jc w:val="left"/>
            </w:pPr>
            <w:r/>
            <w:r>
              <w:rPr>
                <w:rFonts w:ascii="Times New Roman" w:hAnsi="Times New Roman" w:eastAsia="宋体"/>
                <w:b w:val="0"/>
                <w:color w:val="000000"/>
                <w:sz w:val="21"/>
              </w:rPr>
              <w:t>西红柿</w:t>
            </w:r>
          </w:p>
        </w:tc>
        <w:tc>
          <w:tcPr>
            <w:tcW w:type="dxa" w:w="1662"/>
          </w:tcPr>
          <w:p>
            <w:pPr>
              <w:spacing w:line="240" w:lineRule="auto" w:before="20" w:after="20"/>
              <w:jc w:val="left"/>
            </w:pPr>
            <w:r/>
            <w:r>
              <w:rPr>
                <w:rFonts w:ascii="Times New Roman" w:hAnsi="Times New Roman" w:eastAsia="宋体"/>
                <w:b w:val="0"/>
                <w:color w:val="000000"/>
                <w:sz w:val="21"/>
              </w:rPr>
              <w:t>ElasticNet（调参）</w:t>
            </w:r>
          </w:p>
        </w:tc>
        <w:tc>
          <w:tcPr>
            <w:tcW w:type="dxa" w:w="1662"/>
          </w:tcPr>
          <w:p>
            <w:pPr>
              <w:spacing w:line="240" w:lineRule="auto" w:before="20" w:after="20"/>
              <w:jc w:val="right"/>
            </w:pPr>
            <w:r/>
            <w:r>
              <w:rPr>
                <w:rFonts w:ascii="Times New Roman" w:hAnsi="Times New Roman" w:eastAsia="宋体"/>
                <w:b w:val="0"/>
                <w:color w:val="000000"/>
                <w:sz w:val="21"/>
              </w:rPr>
              <w:t>8.56%</w:t>
            </w:r>
          </w:p>
        </w:tc>
        <w:tc>
          <w:tcPr>
            <w:tcW w:type="dxa" w:w="1662"/>
          </w:tcPr>
          <w:p>
            <w:pPr>
              <w:spacing w:line="240" w:lineRule="auto" w:before="20" w:after="20"/>
              <w:jc w:val="right"/>
            </w:pPr>
            <w:r/>
            <w:r>
              <w:rPr>
                <w:rFonts w:ascii="Times New Roman" w:hAnsi="Times New Roman" w:eastAsia="宋体"/>
                <w:b w:val="0"/>
                <w:color w:val="000000"/>
                <w:sz w:val="21"/>
              </w:rPr>
              <w:t>9.92%</w:t>
            </w:r>
          </w:p>
        </w:tc>
        <w:tc>
          <w:tcPr>
            <w:tcW w:type="dxa" w:w="1662"/>
          </w:tcPr>
          <w:p>
            <w:pPr>
              <w:spacing w:line="240" w:lineRule="auto" w:before="20" w:after="20"/>
              <w:jc w:val="right"/>
            </w:pPr>
            <w:r/>
            <w:r>
              <w:rPr>
                <w:rFonts w:ascii="Times New Roman" w:hAnsi="Times New Roman" w:eastAsia="宋体"/>
                <w:b w:val="0"/>
                <w:color w:val="000000"/>
                <w:sz w:val="21"/>
              </w:rPr>
              <w:t>13.7%</w:t>
            </w:r>
          </w:p>
        </w:tc>
      </w:tr>
      <w:tr>
        <w:tc>
          <w:tcPr>
            <w:tcW w:type="dxa" w:w="1662"/>
          </w:tcPr>
          <w:p>
            <w:pPr>
              <w:spacing w:line="240" w:lineRule="auto" w:before="20" w:after="20"/>
              <w:jc w:val="left"/>
            </w:pPr>
            <w:r/>
            <w:r>
              <w:rPr>
                <w:rFonts w:ascii="Times New Roman" w:hAnsi="Times New Roman" w:eastAsia="宋体"/>
                <w:b w:val="0"/>
                <w:color w:val="000000"/>
                <w:sz w:val="21"/>
              </w:rPr>
              <w:t>芸豆</w:t>
            </w:r>
          </w:p>
        </w:tc>
        <w:tc>
          <w:tcPr>
            <w:tcW w:type="dxa" w:w="1662"/>
          </w:tcPr>
          <w:p>
            <w:pPr>
              <w:spacing w:line="240" w:lineRule="auto" w:before="20" w:after="20"/>
              <w:jc w:val="left"/>
            </w:pPr>
            <w:r/>
            <w:r>
              <w:rPr>
                <w:rFonts w:ascii="Times New Roman" w:hAnsi="Times New Roman" w:eastAsia="宋体"/>
                <w:b w:val="0"/>
                <w:color w:val="000000"/>
                <w:sz w:val="21"/>
              </w:rPr>
              <w:t>ElasticNet</w:t>
            </w:r>
          </w:p>
        </w:tc>
        <w:tc>
          <w:tcPr>
            <w:tcW w:type="dxa" w:w="1662"/>
          </w:tcPr>
          <w:p>
            <w:pPr>
              <w:spacing w:line="240" w:lineRule="auto" w:before="20" w:after="20"/>
              <w:jc w:val="right"/>
            </w:pPr>
            <w:r/>
            <w:r>
              <w:rPr>
                <w:rFonts w:ascii="Times New Roman" w:hAnsi="Times New Roman" w:eastAsia="宋体"/>
                <w:b w:val="0"/>
                <w:color w:val="000000"/>
                <w:sz w:val="21"/>
              </w:rPr>
              <w:t>9.33%</w:t>
            </w:r>
          </w:p>
        </w:tc>
        <w:tc>
          <w:tcPr>
            <w:tcW w:type="dxa" w:w="1662"/>
          </w:tcPr>
          <w:p>
            <w:pPr>
              <w:spacing w:line="240" w:lineRule="auto" w:before="20" w:after="20"/>
              <w:jc w:val="right"/>
            </w:pPr>
            <w:r/>
            <w:r>
              <w:rPr>
                <w:rFonts w:ascii="Times New Roman" w:hAnsi="Times New Roman" w:eastAsia="宋体"/>
                <w:b w:val="0"/>
                <w:color w:val="000000"/>
                <w:sz w:val="21"/>
              </w:rPr>
              <w:t>11.05%</w:t>
            </w:r>
          </w:p>
        </w:tc>
        <w:tc>
          <w:tcPr>
            <w:tcW w:type="dxa" w:w="1662"/>
          </w:tcPr>
          <w:p>
            <w:pPr>
              <w:spacing w:line="240" w:lineRule="auto" w:before="20" w:after="20"/>
              <w:jc w:val="right"/>
            </w:pPr>
            <w:r/>
            <w:r>
              <w:rPr>
                <w:rFonts w:ascii="Times New Roman" w:hAnsi="Times New Roman" w:eastAsia="宋体"/>
                <w:b w:val="0"/>
                <w:color w:val="000000"/>
                <w:sz w:val="21"/>
              </w:rPr>
              <w:t>15.6%</w:t>
            </w:r>
          </w:p>
        </w:tc>
      </w:tr>
      <w:tr>
        <w:tc>
          <w:tcPr>
            <w:tcW w:type="dxa" w:w="1662"/>
          </w:tcPr>
          <w:p>
            <w:pPr>
              <w:spacing w:line="240" w:lineRule="auto" w:before="20" w:after="20"/>
              <w:jc w:val="left"/>
            </w:pPr>
            <w:r/>
            <w:r>
              <w:rPr>
                <w:rFonts w:ascii="Times New Roman" w:hAnsi="Times New Roman" w:eastAsia="宋体"/>
                <w:b w:val="0"/>
                <w:color w:val="000000"/>
                <w:sz w:val="21"/>
              </w:rPr>
              <w:t>黄瓜</w:t>
            </w:r>
          </w:p>
        </w:tc>
        <w:tc>
          <w:tcPr>
            <w:tcW w:type="dxa" w:w="1662"/>
          </w:tcPr>
          <w:p>
            <w:pPr>
              <w:spacing w:line="240" w:lineRule="auto" w:before="20" w:after="20"/>
              <w:jc w:val="left"/>
            </w:pPr>
            <w:r/>
            <w:r>
              <w:rPr>
                <w:rFonts w:ascii="Times New Roman" w:hAnsi="Times New Roman" w:eastAsia="宋体"/>
                <w:b w:val="0"/>
                <w:color w:val="000000"/>
                <w:sz w:val="21"/>
              </w:rPr>
              <w:t>ExtraTrees</w:t>
            </w:r>
          </w:p>
        </w:tc>
        <w:tc>
          <w:tcPr>
            <w:tcW w:type="dxa" w:w="1662"/>
          </w:tcPr>
          <w:p>
            <w:pPr>
              <w:spacing w:line="240" w:lineRule="auto" w:before="20" w:after="20"/>
              <w:jc w:val="right"/>
            </w:pPr>
            <w:r/>
            <w:r>
              <w:rPr>
                <w:rFonts w:ascii="Times New Roman" w:hAnsi="Times New Roman" w:eastAsia="宋体"/>
                <w:b w:val="0"/>
                <w:color w:val="000000"/>
                <w:sz w:val="21"/>
              </w:rPr>
              <w:t>15.14%</w:t>
            </w:r>
          </w:p>
        </w:tc>
        <w:tc>
          <w:tcPr>
            <w:tcW w:type="dxa" w:w="1662"/>
          </w:tcPr>
          <w:p>
            <w:pPr>
              <w:spacing w:line="240" w:lineRule="auto" w:before="20" w:after="20"/>
              <w:jc w:val="right"/>
            </w:pPr>
            <w:r/>
            <w:r>
              <w:rPr>
                <w:rFonts w:ascii="Times New Roman" w:hAnsi="Times New Roman" w:eastAsia="宋体"/>
                <w:b w:val="0"/>
                <w:color w:val="000000"/>
                <w:sz w:val="21"/>
              </w:rPr>
              <w:t>19.37%</w:t>
            </w:r>
          </w:p>
        </w:tc>
        <w:tc>
          <w:tcPr>
            <w:tcW w:type="dxa" w:w="1662"/>
          </w:tcPr>
          <w:p>
            <w:pPr>
              <w:spacing w:line="240" w:lineRule="auto" w:before="20" w:after="20"/>
              <w:jc w:val="right"/>
            </w:pPr>
            <w:r/>
            <w:r>
              <w:rPr>
                <w:rFonts w:ascii="Times New Roman" w:hAnsi="Times New Roman" w:eastAsia="宋体"/>
                <w:b w:val="0"/>
                <w:color w:val="000000"/>
                <w:sz w:val="21"/>
              </w:rPr>
              <w:t>21.8%</w:t>
            </w:r>
          </w:p>
        </w:tc>
      </w:tr>
      <w:tr>
        <w:tc>
          <w:tcPr>
            <w:tcW w:type="dxa" w:w="1662"/>
          </w:tcPr>
          <w:p>
            <w:pPr>
              <w:spacing w:line="240" w:lineRule="auto" w:before="20" w:after="20"/>
              <w:jc w:val="left"/>
            </w:pPr>
            <w:r/>
            <w:r>
              <w:rPr>
                <w:rFonts w:ascii="Times New Roman" w:hAnsi="Times New Roman" w:eastAsia="宋体"/>
                <w:b w:val="0"/>
                <w:color w:val="000000"/>
                <w:sz w:val="21"/>
              </w:rPr>
              <w:t>韭菜</w:t>
            </w:r>
          </w:p>
        </w:tc>
        <w:tc>
          <w:tcPr>
            <w:tcW w:type="dxa" w:w="1662"/>
          </w:tcPr>
          <w:p>
            <w:pPr>
              <w:spacing w:line="240" w:lineRule="auto" w:before="20" w:after="20"/>
              <w:jc w:val="left"/>
            </w:pPr>
            <w:r/>
            <w:r>
              <w:rPr>
                <w:rFonts w:ascii="Times New Roman" w:hAnsi="Times New Roman" w:eastAsia="宋体"/>
                <w:b w:val="0"/>
                <w:color w:val="000000"/>
                <w:sz w:val="21"/>
              </w:rPr>
              <w:t>ElasticNet（调参，分品种）</w:t>
            </w:r>
          </w:p>
        </w:tc>
        <w:tc>
          <w:tcPr>
            <w:tcW w:type="dxa" w:w="1662"/>
          </w:tcPr>
          <w:p>
            <w:pPr>
              <w:spacing w:line="240" w:lineRule="auto" w:before="20" w:after="20"/>
              <w:jc w:val="right"/>
            </w:pPr>
            <w:r/>
            <w:r>
              <w:rPr>
                <w:rFonts w:ascii="Times New Roman" w:hAnsi="Times New Roman" w:eastAsia="宋体"/>
                <w:b w:val="0"/>
                <w:color w:val="000000"/>
                <w:sz w:val="21"/>
              </w:rPr>
              <w:t>10.68%</w:t>
            </w:r>
          </w:p>
        </w:tc>
        <w:tc>
          <w:tcPr>
            <w:tcW w:type="dxa" w:w="1662"/>
          </w:tcPr>
          <w:p>
            <w:pPr>
              <w:spacing w:line="240" w:lineRule="auto" w:before="20" w:after="20"/>
              <w:jc w:val="right"/>
            </w:pPr>
            <w:r/>
            <w:r>
              <w:rPr>
                <w:rFonts w:ascii="Times New Roman" w:hAnsi="Times New Roman" w:eastAsia="宋体"/>
                <w:b w:val="0"/>
                <w:color w:val="000000"/>
                <w:sz w:val="21"/>
              </w:rPr>
              <w:t>14.06%</w:t>
            </w:r>
          </w:p>
        </w:tc>
        <w:tc>
          <w:tcPr>
            <w:tcW w:type="dxa" w:w="1662"/>
          </w:tcPr>
          <w:p>
            <w:pPr>
              <w:spacing w:line="240" w:lineRule="auto" w:before="20" w:after="20"/>
              <w:jc w:val="right"/>
            </w:pPr>
            <w:r/>
            <w:r>
              <w:rPr>
                <w:rFonts w:ascii="Times New Roman" w:hAnsi="Times New Roman" w:eastAsia="宋体"/>
                <w:b w:val="0"/>
                <w:color w:val="000000"/>
                <w:sz w:val="21"/>
              </w:rPr>
              <w:t>24.0%</w:t>
            </w:r>
          </w:p>
        </w:tc>
      </w:tr>
    </w:tbl>
    <w:p>
      <w:pPr>
        <w:spacing w:before="0"/>
      </w:pPr>
    </w:p>
    <w:p>
      <w:pPr>
        <w:spacing w:line="300" w:lineRule="auto" w:before="140" w:after="0"/>
        <w:ind w:firstLine="560"/>
        <w:jc w:val="left"/>
      </w:pPr>
      <w:r>
        <w:rPr>
          <w:rFonts w:ascii="Times New Roman" w:hAnsi="Times New Roman" w:eastAsia="宋体"/>
          <w:b w:val="0"/>
          <w:color w:val="000000"/>
          <w:sz w:val="28"/>
        </w:rPr>
        <w:t>表 4 支持三点判断。其一，</w:t>
      </w:r>
      <w:r>
        <w:rPr>
          <w:rFonts w:ascii="Times New Roman" w:hAnsi="Times New Roman" w:eastAsia="宋体"/>
          <w:b/>
          <w:color w:val="000000"/>
          <w:sz w:val="28"/>
        </w:rPr>
        <w:t>改进的分布很不均匀</w:t>
      </w:r>
      <w:r>
        <w:rPr>
          <w:rFonts w:ascii="Times New Roman" w:hAnsi="Times New Roman" w:eastAsia="宋体"/>
          <w:b w:val="0"/>
          <w:color w:val="000000"/>
          <w:sz w:val="28"/>
        </w:rPr>
        <w:t>：十种蔬菜有 7 种优于基线，但青椒与茄子的改善不足 5%，绝对误差仍在 5%—14% 之间，说明预测只能给出粗略排序。其二，</w:t>
      </w:r>
      <w:r>
        <w:rPr>
          <w:rFonts w:ascii="Times New Roman" w:hAnsi="Times New Roman" w:eastAsia="宋体"/>
          <w:b/>
          <w:color w:val="000000"/>
          <w:sz w:val="28"/>
        </w:rPr>
        <w:t>模型复杂度没有转化为精度优势</w:t>
      </w:r>
      <w:r>
        <w:rPr>
          <w:rFonts w:ascii="Times New Roman" w:hAnsi="Times New Roman" w:eastAsia="宋体"/>
          <w:b w:val="0"/>
          <w:color w:val="000000"/>
          <w:sz w:val="28"/>
        </w:rPr>
        <w:t>：胜出者以 ElasticNet 系列为主，CatBoost 未在任何品种上成为最终选择；这与数据条件相符——特征相关性强、单品种有效样本量在千级，正则化线性模型通常比高方差树模型更稳，也与"没有算法绝对占优"的判断一致[7]。其三，</w:t>
      </w:r>
      <w:r>
        <w:rPr>
          <w:rFonts w:ascii="Times New Roman" w:hAnsi="Times New Roman" w:eastAsia="宋体"/>
          <w:b/>
          <w:color w:val="000000"/>
          <w:sz w:val="28"/>
        </w:rPr>
        <w:t>三种蔬菜不可预测</w:t>
      </w:r>
      <w:r>
        <w:rPr>
          <w:rFonts w:ascii="Times New Roman" w:hAnsi="Times New Roman" w:eastAsia="宋体"/>
          <w:b w:val="0"/>
          <w:color w:val="000000"/>
          <w:sz w:val="28"/>
        </w:rPr>
        <w:t>：土豆、芹菜与甘蓝回退为上一期价格（基线 WAPE 分别为 4.99%、11.36%、13.87%），价格过程接近随机游走。本表也不支持"机器学习适用于蔬菜价格预测"或"预测精度可直接转化为决策收益"这两点推论。</w:t>
      </w:r>
    </w:p>
    <w:p>
      <w:pPr>
        <w:spacing w:line="300" w:lineRule="auto" w:before="140" w:after="0"/>
        <w:ind w:firstLine="560"/>
        <w:jc w:val="left"/>
      </w:pPr>
      <w:r>
        <w:rPr>
          <w:rFonts w:ascii="Times New Roman" w:hAnsi="Times New Roman" w:eastAsia="宋体"/>
          <w:b w:val="0"/>
          <w:color w:val="000000"/>
          <w:sz w:val="28"/>
        </w:rPr>
        <w:t>本表</w:t>
      </w:r>
      <w:r>
        <w:rPr>
          <w:rFonts w:ascii="Times New Roman" w:hAnsi="Times New Roman" w:eastAsia="宋体"/>
          <w:b/>
          <w:color w:val="000000"/>
          <w:sz w:val="28"/>
        </w:rPr>
        <w:t>不支持</w:t>
      </w:r>
      <w:r>
        <w:rPr>
          <w:rFonts w:ascii="Times New Roman" w:hAnsi="Times New Roman" w:eastAsia="宋体"/>
          <w:b w:val="0"/>
          <w:color w:val="000000"/>
          <w:sz w:val="28"/>
        </w:rPr>
        <w:t>两点推论：它不能说明"机器学习适用于蔬菜价格预测"（在三种蔬菜上机器学习不如不学习），也不能说明预测精度可以直接转化为决策收益——这一转化是否成立由第六、七节的策略检验回答。</w:t>
      </w:r>
    </w:p>
    <w:p>
      <w:pPr>
        <w:spacing w:before="120" w:after="40"/>
        <w:jc w:val="center"/>
      </w:pPr>
      <w:r>
        <w:drawing>
          <wp:inline xmlns:a="http://schemas.openxmlformats.org/drawingml/2006/main" xmlns:pic="http://schemas.openxmlformats.org/drawingml/2006/picture">
            <wp:extent cx="5256000" cy="1948345"/>
            <wp:docPr id="2" name="Picture 2"/>
            <wp:cNvGraphicFramePr>
              <a:graphicFrameLocks noChangeAspect="1"/>
            </wp:cNvGraphicFramePr>
            <a:graphic>
              <a:graphicData uri="http://schemas.openxmlformats.org/drawingml/2006/picture">
                <pic:pic>
                  <pic:nvPicPr>
                    <pic:cNvPr id="0" name="F5_pred_vs_actual.png"/>
                    <pic:cNvPicPr/>
                  </pic:nvPicPr>
                  <pic:blipFill>
                    <a:blip r:embed="rId12"/>
                    <a:stretch>
                      <a:fillRect/>
                    </a:stretch>
                  </pic:blipFill>
                  <pic:spPr>
                    <a:xfrm>
                      <a:off x="0" y="0"/>
                      <a:ext cx="5256000" cy="1948345"/>
                    </a:xfrm>
                    <a:prstGeom prst="rect"/>
                  </pic:spPr>
                </pic:pic>
              </a:graphicData>
            </a:graphic>
          </wp:inline>
        </w:drawing>
      </w:r>
    </w:p>
    <w:p>
      <w:pPr>
        <w:spacing w:line="240" w:lineRule="auto" w:before="40" w:after="160"/>
        <w:jc w:val="center"/>
      </w:pPr>
      <w:r>
        <w:rPr>
          <w:rFonts w:ascii="Times New Roman" w:hAnsi="Times New Roman" w:eastAsia="宋体"/>
          <w:b/>
          <w:color w:val="000000"/>
          <w:sz w:val="24"/>
        </w:rPr>
        <w:t xml:space="preserve">图 </w:t>
      </w:r>
      <w:r>
        <w:fldChar w:fldCharType="begin"/>
        <w:instrText xml:space="preserve">SEQ 图 \* ARABIC</w:instrText>
        <w:fldChar w:fldCharType="separate"/>
        <w:t>（Word 打开时自动更新）</w:t>
        <w:fldChar w:fldCharType="end"/>
      </w:r>
      <w:r>
        <w:rPr>
          <w:rFonts w:ascii="Times New Roman" w:hAnsi="Times New Roman" w:eastAsia="宋体"/>
          <w:b/>
          <w:color w:val="000000"/>
          <w:sz w:val="24"/>
        </w:rPr>
        <w:t xml:space="preserve">　30 天窗口价格预测的样本外表现（沈阳十种蔬菜，三折滚动回测）</w:t>
      </w:r>
    </w:p>
    <w:p>
      <w:pPr>
        <w:pStyle w:val="Heading2"/>
        <w:spacing w:line="300" w:lineRule="auto" w:before="200" w:after="80"/>
      </w:pPr>
      <w:r>
        <w:rPr>
          <w:rFonts w:ascii="Times New Roman" w:hAnsi="Times New Roman" w:eastAsia="黑体"/>
          <w:b/>
          <w:color w:val="000000"/>
          <w:sz w:val="28"/>
        </w:rPr>
        <w:t>（五）预测窗口与精度结构</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沈阳市不同预测窗口的平均精度与基线胜出情况</w:t>
      </w:r>
    </w:p>
    <w:tbl>
      <w:tblPr>
        <w:tblStyle w:val="TableGrid"/>
        <w:tblW w:type="auto" w:w="0"/>
        <w:jc w:val="center"/>
        <w:tblLook w:firstColumn="1" w:firstRow="1" w:lastColumn="0" w:lastRow="0" w:noHBand="0" w:noVBand="1" w:val="04A0"/>
      </w:tblPr>
      <w:tblGrid>
        <w:gridCol w:w="1662"/>
        <w:gridCol w:w="1662"/>
        <w:gridCol w:w="1662"/>
        <w:gridCol w:w="1662"/>
        <w:gridCol w:w="1662"/>
      </w:tblGrid>
      <w:tr>
        <w:trPr>
          <w:tblHeader w:val="true"/>
        </w:trPr>
        <w:tc>
          <w:tcPr>
            <w:tcW w:type="dxa" w:w="1662"/>
          </w:tcPr>
          <w:p>
            <w:pPr>
              <w:spacing w:line="240" w:lineRule="auto" w:before="20" w:after="20"/>
              <w:jc w:val="center"/>
            </w:pPr>
            <w:r/>
            <w:r>
              <w:rPr>
                <w:rFonts w:ascii="Times New Roman" w:hAnsi="Times New Roman" w:eastAsia="宋体"/>
                <w:b/>
                <w:color w:val="000000"/>
                <w:sz w:val="21"/>
              </w:rPr>
              <w:t>预测窗口</w:t>
            </w:r>
          </w:p>
        </w:tc>
        <w:tc>
          <w:tcPr>
            <w:tcW w:type="dxa" w:w="1662"/>
          </w:tcPr>
          <w:p>
            <w:pPr>
              <w:spacing w:line="240" w:lineRule="auto" w:before="20" w:after="20"/>
              <w:jc w:val="center"/>
            </w:pPr>
            <w:r/>
            <w:r>
              <w:rPr>
                <w:rFonts w:ascii="Times New Roman" w:hAnsi="Times New Roman" w:eastAsia="宋体"/>
                <w:b/>
                <w:color w:val="000000"/>
                <w:sz w:val="21"/>
              </w:rPr>
              <w:t>战胜基线的品种数</w:t>
            </w:r>
          </w:p>
        </w:tc>
        <w:tc>
          <w:tcPr>
            <w:tcW w:type="dxa" w:w="1662"/>
          </w:tcPr>
          <w:p>
            <w:pPr>
              <w:spacing w:line="240" w:lineRule="auto" w:before="20" w:after="20"/>
              <w:jc w:val="center"/>
            </w:pPr>
            <w:r/>
            <w:r>
              <w:rPr>
                <w:rFonts w:ascii="Times New Roman" w:hAnsi="Times New Roman" w:eastAsia="宋体"/>
                <w:b/>
                <w:color w:val="000000"/>
                <w:sz w:val="21"/>
              </w:rPr>
              <w:t>平均 WAPE</w:t>
            </w:r>
          </w:p>
        </w:tc>
        <w:tc>
          <w:tcPr>
            <w:tcW w:type="dxa" w:w="1662"/>
          </w:tcPr>
          <w:p>
            <w:pPr>
              <w:spacing w:line="240" w:lineRule="auto" w:before="20" w:after="20"/>
              <w:jc w:val="center"/>
            </w:pPr>
            <w:r/>
            <w:r>
              <w:rPr>
                <w:rFonts w:ascii="Times New Roman" w:hAnsi="Times New Roman" w:eastAsia="宋体"/>
                <w:b/>
                <w:color w:val="000000"/>
                <w:sz w:val="21"/>
              </w:rPr>
              <w:t>平均基线 WAPE</w:t>
            </w:r>
          </w:p>
        </w:tc>
        <w:tc>
          <w:tcPr>
            <w:tcW w:type="dxa" w:w="1662"/>
          </w:tcPr>
          <w:p>
            <w:pPr>
              <w:spacing w:line="240" w:lineRule="auto" w:before="20" w:after="20"/>
              <w:jc w:val="center"/>
            </w:pPr>
            <w:r/>
            <w:r>
              <w:rPr>
                <w:rFonts w:ascii="Times New Roman" w:hAnsi="Times New Roman" w:eastAsia="宋体"/>
                <w:b/>
                <w:color w:val="000000"/>
                <w:sz w:val="21"/>
              </w:rPr>
              <w:t>平均相对改善</w:t>
            </w:r>
          </w:p>
        </w:tc>
      </w:tr>
      <w:tr>
        <w:tc>
          <w:tcPr>
            <w:tcW w:type="dxa" w:w="1662"/>
          </w:tcPr>
          <w:p>
            <w:pPr>
              <w:spacing w:line="240" w:lineRule="auto" w:before="20" w:after="20"/>
              <w:jc w:val="left"/>
            </w:pPr>
            <w:r/>
            <w:r>
              <w:rPr>
                <w:rFonts w:ascii="Times New Roman" w:hAnsi="Times New Roman" w:eastAsia="宋体"/>
                <w:b w:val="0"/>
                <w:color w:val="000000"/>
                <w:sz w:val="21"/>
              </w:rPr>
              <w:t>7 天</w:t>
            </w:r>
          </w:p>
        </w:tc>
        <w:tc>
          <w:tcPr>
            <w:tcW w:type="dxa" w:w="1662"/>
          </w:tcPr>
          <w:p>
            <w:pPr>
              <w:spacing w:line="240" w:lineRule="auto" w:before="20" w:after="20"/>
              <w:jc w:val="left"/>
            </w:pPr>
            <w:r/>
            <w:r>
              <w:rPr>
                <w:rFonts w:ascii="Times New Roman" w:hAnsi="Times New Roman" w:eastAsia="宋体"/>
                <w:b w:val="0"/>
                <w:color w:val="000000"/>
                <w:sz w:val="21"/>
              </w:rPr>
              <w:t>4/10</w:t>
            </w:r>
          </w:p>
        </w:tc>
        <w:tc>
          <w:tcPr>
            <w:tcW w:type="dxa" w:w="1662"/>
          </w:tcPr>
          <w:p>
            <w:pPr>
              <w:spacing w:line="240" w:lineRule="auto" w:before="20" w:after="20"/>
              <w:jc w:val="right"/>
            </w:pPr>
            <w:r/>
            <w:r>
              <w:rPr>
                <w:rFonts w:ascii="Times New Roman" w:hAnsi="Times New Roman" w:eastAsia="宋体"/>
                <w:b w:val="0"/>
                <w:color w:val="000000"/>
                <w:sz w:val="21"/>
              </w:rPr>
              <w:t>5.25%</w:t>
            </w:r>
          </w:p>
        </w:tc>
        <w:tc>
          <w:tcPr>
            <w:tcW w:type="dxa" w:w="1662"/>
          </w:tcPr>
          <w:p>
            <w:pPr>
              <w:spacing w:line="240" w:lineRule="auto" w:before="20" w:after="20"/>
              <w:jc w:val="right"/>
            </w:pPr>
            <w:r/>
            <w:r>
              <w:rPr>
                <w:rFonts w:ascii="Times New Roman" w:hAnsi="Times New Roman" w:eastAsia="宋体"/>
                <w:b w:val="0"/>
                <w:color w:val="000000"/>
                <w:sz w:val="21"/>
              </w:rPr>
              <w:t>5.37%</w:t>
            </w:r>
          </w:p>
        </w:tc>
        <w:tc>
          <w:tcPr>
            <w:tcW w:type="dxa" w:w="1662"/>
          </w:tcPr>
          <w:p>
            <w:pPr>
              <w:spacing w:line="240" w:lineRule="auto" w:before="20" w:after="20"/>
              <w:jc w:val="right"/>
            </w:pPr>
            <w:r/>
            <w:r>
              <w:rPr>
                <w:rFonts w:ascii="Times New Roman" w:hAnsi="Times New Roman" w:eastAsia="宋体"/>
                <w:b w:val="0"/>
                <w:color w:val="000000"/>
                <w:sz w:val="21"/>
              </w:rPr>
              <w:t>2.2%</w:t>
            </w:r>
          </w:p>
        </w:tc>
      </w:tr>
      <w:tr>
        <w:tc>
          <w:tcPr>
            <w:tcW w:type="dxa" w:w="1662"/>
          </w:tcPr>
          <w:p>
            <w:pPr>
              <w:spacing w:line="240" w:lineRule="auto" w:before="20" w:after="20"/>
              <w:jc w:val="left"/>
            </w:pPr>
            <w:r/>
            <w:r>
              <w:rPr>
                <w:rFonts w:ascii="Times New Roman" w:hAnsi="Times New Roman" w:eastAsia="宋体"/>
                <w:b w:val="0"/>
                <w:color w:val="000000"/>
                <w:sz w:val="21"/>
              </w:rPr>
              <w:t>14 天</w:t>
            </w:r>
          </w:p>
        </w:tc>
        <w:tc>
          <w:tcPr>
            <w:tcW w:type="dxa" w:w="1662"/>
          </w:tcPr>
          <w:p>
            <w:pPr>
              <w:spacing w:line="240" w:lineRule="auto" w:before="20" w:after="20"/>
              <w:jc w:val="left"/>
            </w:pPr>
            <w:r/>
            <w:r>
              <w:rPr>
                <w:rFonts w:ascii="Times New Roman" w:hAnsi="Times New Roman" w:eastAsia="宋体"/>
                <w:b w:val="0"/>
                <w:color w:val="000000"/>
                <w:sz w:val="21"/>
              </w:rPr>
              <w:t>6/10</w:t>
            </w:r>
          </w:p>
        </w:tc>
        <w:tc>
          <w:tcPr>
            <w:tcW w:type="dxa" w:w="1662"/>
          </w:tcPr>
          <w:p>
            <w:pPr>
              <w:spacing w:line="240" w:lineRule="auto" w:before="20" w:after="20"/>
              <w:jc w:val="right"/>
            </w:pPr>
            <w:r/>
            <w:r>
              <w:rPr>
                <w:rFonts w:ascii="Times New Roman" w:hAnsi="Times New Roman" w:eastAsia="宋体"/>
                <w:b w:val="0"/>
                <w:color w:val="000000"/>
                <w:sz w:val="21"/>
              </w:rPr>
              <w:t>7.64%</w:t>
            </w:r>
          </w:p>
        </w:tc>
        <w:tc>
          <w:tcPr>
            <w:tcW w:type="dxa" w:w="1662"/>
          </w:tcPr>
          <w:p>
            <w:pPr>
              <w:spacing w:line="240" w:lineRule="auto" w:before="20" w:after="20"/>
              <w:jc w:val="right"/>
            </w:pPr>
            <w:r/>
            <w:r>
              <w:rPr>
                <w:rFonts w:ascii="Times New Roman" w:hAnsi="Times New Roman" w:eastAsia="宋体"/>
                <w:b w:val="0"/>
                <w:color w:val="000000"/>
                <w:sz w:val="21"/>
              </w:rPr>
              <w:t>8.02%</w:t>
            </w:r>
          </w:p>
        </w:tc>
        <w:tc>
          <w:tcPr>
            <w:tcW w:type="dxa" w:w="1662"/>
          </w:tcPr>
          <w:p>
            <w:pPr>
              <w:spacing w:line="240" w:lineRule="auto" w:before="20" w:after="20"/>
              <w:jc w:val="right"/>
            </w:pPr>
            <w:r/>
            <w:r>
              <w:rPr>
                <w:rFonts w:ascii="Times New Roman" w:hAnsi="Times New Roman" w:eastAsia="宋体"/>
                <w:b w:val="0"/>
                <w:color w:val="000000"/>
                <w:sz w:val="21"/>
              </w:rPr>
              <w:t>4.8%</w:t>
            </w:r>
          </w:p>
        </w:tc>
      </w:tr>
      <w:tr>
        <w:tc>
          <w:tcPr>
            <w:tcW w:type="dxa" w:w="1662"/>
          </w:tcPr>
          <w:p>
            <w:pPr>
              <w:spacing w:line="240" w:lineRule="auto" w:before="20" w:after="20"/>
              <w:jc w:val="left"/>
            </w:pPr>
            <w:r/>
            <w:r>
              <w:rPr>
                <w:rFonts w:ascii="Times New Roman" w:hAnsi="Times New Roman" w:eastAsia="宋体"/>
                <w:b w:val="0"/>
                <w:color w:val="000000"/>
                <w:sz w:val="21"/>
              </w:rPr>
              <w:t>30 天</w:t>
            </w:r>
          </w:p>
        </w:tc>
        <w:tc>
          <w:tcPr>
            <w:tcW w:type="dxa" w:w="1662"/>
          </w:tcPr>
          <w:p>
            <w:pPr>
              <w:spacing w:line="240" w:lineRule="auto" w:before="20" w:after="20"/>
              <w:jc w:val="left"/>
            </w:pPr>
            <w:r/>
            <w:r>
              <w:rPr>
                <w:rFonts w:ascii="Times New Roman" w:hAnsi="Times New Roman" w:eastAsia="宋体"/>
                <w:b w:val="0"/>
                <w:color w:val="000000"/>
                <w:sz w:val="21"/>
              </w:rPr>
              <w:t>7/10</w:t>
            </w:r>
          </w:p>
        </w:tc>
        <w:tc>
          <w:tcPr>
            <w:tcW w:type="dxa" w:w="1662"/>
          </w:tcPr>
          <w:p>
            <w:pPr>
              <w:spacing w:line="240" w:lineRule="auto" w:before="20" w:after="20"/>
              <w:jc w:val="right"/>
            </w:pPr>
            <w:r/>
            <w:r>
              <w:rPr>
                <w:rFonts w:ascii="Times New Roman" w:hAnsi="Times New Roman" w:eastAsia="宋体"/>
                <w:b w:val="0"/>
                <w:color w:val="000000"/>
                <w:sz w:val="21"/>
              </w:rPr>
              <w:t>10.98%</w:t>
            </w:r>
          </w:p>
        </w:tc>
        <w:tc>
          <w:tcPr>
            <w:tcW w:type="dxa" w:w="1662"/>
          </w:tcPr>
          <w:p>
            <w:pPr>
              <w:spacing w:line="240" w:lineRule="auto" w:before="20" w:after="20"/>
              <w:jc w:val="right"/>
            </w:pPr>
            <w:r/>
            <w:r>
              <w:rPr>
                <w:rFonts w:ascii="Times New Roman" w:hAnsi="Times New Roman" w:eastAsia="宋体"/>
                <w:b w:val="0"/>
                <w:color w:val="000000"/>
                <w:sz w:val="21"/>
              </w:rPr>
              <w:t>12.30%</w:t>
            </w:r>
          </w:p>
        </w:tc>
        <w:tc>
          <w:tcPr>
            <w:tcW w:type="dxa" w:w="1662"/>
          </w:tcPr>
          <w:p>
            <w:pPr>
              <w:spacing w:line="240" w:lineRule="auto" w:before="20" w:after="20"/>
              <w:jc w:val="right"/>
            </w:pPr>
            <w:r/>
            <w:r>
              <w:rPr>
                <w:rFonts w:ascii="Times New Roman" w:hAnsi="Times New Roman" w:eastAsia="宋体"/>
                <w:b w:val="0"/>
                <w:color w:val="000000"/>
                <w:sz w:val="21"/>
              </w:rPr>
              <w:t>10.7%</w:t>
            </w:r>
          </w:p>
        </w:tc>
      </w:tr>
      <w:tr>
        <w:tc>
          <w:tcPr>
            <w:tcW w:type="dxa" w:w="1662"/>
          </w:tcPr>
          <w:p>
            <w:pPr>
              <w:spacing w:line="240" w:lineRule="auto" w:before="20" w:after="20"/>
              <w:jc w:val="left"/>
            </w:pPr>
            <w:r/>
            <w:r>
              <w:rPr>
                <w:rFonts w:ascii="Times New Roman" w:hAnsi="Times New Roman" w:eastAsia="宋体"/>
                <w:b w:val="0"/>
                <w:color w:val="000000"/>
                <w:sz w:val="21"/>
              </w:rPr>
              <w:t>60 天</w:t>
            </w:r>
          </w:p>
        </w:tc>
        <w:tc>
          <w:tcPr>
            <w:tcW w:type="dxa" w:w="1662"/>
          </w:tcPr>
          <w:p>
            <w:pPr>
              <w:spacing w:line="240" w:lineRule="auto" w:before="20" w:after="20"/>
              <w:jc w:val="left"/>
            </w:pPr>
            <w:r/>
            <w:r>
              <w:rPr>
                <w:rFonts w:ascii="Times New Roman" w:hAnsi="Times New Roman" w:eastAsia="宋体"/>
                <w:b w:val="0"/>
                <w:color w:val="000000"/>
                <w:sz w:val="21"/>
              </w:rPr>
              <w:t>9/10</w:t>
            </w:r>
          </w:p>
        </w:tc>
        <w:tc>
          <w:tcPr>
            <w:tcW w:type="dxa" w:w="1662"/>
          </w:tcPr>
          <w:p>
            <w:pPr>
              <w:spacing w:line="240" w:lineRule="auto" w:before="20" w:after="20"/>
              <w:jc w:val="right"/>
            </w:pPr>
            <w:r/>
            <w:r>
              <w:rPr>
                <w:rFonts w:ascii="Times New Roman" w:hAnsi="Times New Roman" w:eastAsia="宋体"/>
                <w:b w:val="0"/>
                <w:color w:val="000000"/>
                <w:sz w:val="21"/>
              </w:rPr>
              <w:t>13.88%</w:t>
            </w:r>
          </w:p>
        </w:tc>
        <w:tc>
          <w:tcPr>
            <w:tcW w:type="dxa" w:w="1662"/>
          </w:tcPr>
          <w:p>
            <w:pPr>
              <w:spacing w:line="240" w:lineRule="auto" w:before="20" w:after="20"/>
              <w:jc w:val="right"/>
            </w:pPr>
            <w:r/>
            <w:r>
              <w:rPr>
                <w:rFonts w:ascii="Times New Roman" w:hAnsi="Times New Roman" w:eastAsia="宋体"/>
                <w:b w:val="0"/>
                <w:color w:val="000000"/>
                <w:sz w:val="21"/>
              </w:rPr>
              <w:t>18.36%</w:t>
            </w:r>
          </w:p>
        </w:tc>
        <w:tc>
          <w:tcPr>
            <w:tcW w:type="dxa" w:w="1662"/>
          </w:tcPr>
          <w:p>
            <w:pPr>
              <w:spacing w:line="240" w:lineRule="auto" w:before="20" w:after="20"/>
              <w:jc w:val="right"/>
            </w:pPr>
            <w:r/>
            <w:r>
              <w:rPr>
                <w:rFonts w:ascii="Times New Roman" w:hAnsi="Times New Roman" w:eastAsia="宋体"/>
                <w:b w:val="0"/>
                <w:color w:val="000000"/>
                <w:sz w:val="21"/>
              </w:rPr>
              <w:t>24.4%</w:t>
            </w:r>
          </w:p>
        </w:tc>
      </w:tr>
      <w:tr>
        <w:tc>
          <w:tcPr>
            <w:tcW w:type="dxa" w:w="1662"/>
          </w:tcPr>
          <w:p>
            <w:pPr>
              <w:spacing w:line="240" w:lineRule="auto" w:before="20" w:after="20"/>
              <w:jc w:val="left"/>
            </w:pPr>
            <w:r/>
            <w:r>
              <w:rPr>
                <w:rFonts w:ascii="Times New Roman" w:hAnsi="Times New Roman" w:eastAsia="宋体"/>
                <w:b w:val="0"/>
                <w:color w:val="000000"/>
                <w:sz w:val="21"/>
              </w:rPr>
              <w:t>90 天</w:t>
            </w:r>
          </w:p>
        </w:tc>
        <w:tc>
          <w:tcPr>
            <w:tcW w:type="dxa" w:w="1662"/>
          </w:tcPr>
          <w:p>
            <w:pPr>
              <w:spacing w:line="240" w:lineRule="auto" w:before="20" w:after="20"/>
              <w:jc w:val="left"/>
            </w:pPr>
            <w:r/>
            <w:r>
              <w:rPr>
                <w:rFonts w:ascii="Times New Roman" w:hAnsi="Times New Roman" w:eastAsia="宋体"/>
                <w:b w:val="0"/>
                <w:color w:val="000000"/>
                <w:sz w:val="21"/>
              </w:rPr>
              <w:t>9/10</w:t>
            </w:r>
          </w:p>
        </w:tc>
        <w:tc>
          <w:tcPr>
            <w:tcW w:type="dxa" w:w="1662"/>
          </w:tcPr>
          <w:p>
            <w:pPr>
              <w:spacing w:line="240" w:lineRule="auto" w:before="20" w:after="20"/>
              <w:jc w:val="right"/>
            </w:pPr>
            <w:r/>
            <w:r>
              <w:rPr>
                <w:rFonts w:ascii="Times New Roman" w:hAnsi="Times New Roman" w:eastAsia="宋体"/>
                <w:b w:val="0"/>
                <w:color w:val="000000"/>
                <w:sz w:val="21"/>
              </w:rPr>
              <w:t>14.70%</w:t>
            </w:r>
          </w:p>
        </w:tc>
        <w:tc>
          <w:tcPr>
            <w:tcW w:type="dxa" w:w="1662"/>
          </w:tcPr>
          <w:p>
            <w:pPr>
              <w:spacing w:line="240" w:lineRule="auto" w:before="20" w:after="20"/>
              <w:jc w:val="right"/>
            </w:pPr>
            <w:r/>
            <w:r>
              <w:rPr>
                <w:rFonts w:ascii="Times New Roman" w:hAnsi="Times New Roman" w:eastAsia="宋体"/>
                <w:b w:val="0"/>
                <w:color w:val="000000"/>
                <w:sz w:val="21"/>
              </w:rPr>
              <w:t>23.20%</w:t>
            </w:r>
          </w:p>
        </w:tc>
        <w:tc>
          <w:tcPr>
            <w:tcW w:type="dxa" w:w="1662"/>
          </w:tcPr>
          <w:p>
            <w:pPr>
              <w:spacing w:line="240" w:lineRule="auto" w:before="20" w:after="20"/>
              <w:jc w:val="right"/>
            </w:pPr>
            <w:r/>
            <w:r>
              <w:rPr>
                <w:rFonts w:ascii="Times New Roman" w:hAnsi="Times New Roman" w:eastAsia="宋体"/>
                <w:b w:val="0"/>
                <w:color w:val="000000"/>
                <w:sz w:val="21"/>
              </w:rPr>
              <w:t>36.6%</w:t>
            </w:r>
          </w:p>
        </w:tc>
      </w:tr>
    </w:tbl>
    <w:p>
      <w:pPr>
        <w:spacing w:before="0"/>
      </w:pPr>
    </w:p>
    <w:p>
      <w:pPr>
        <w:spacing w:line="300" w:lineRule="auto" w:before="140" w:after="0"/>
        <w:ind w:firstLine="560"/>
        <w:jc w:val="left"/>
      </w:pPr>
      <w:r>
        <w:rPr>
          <w:rFonts w:ascii="Times New Roman" w:hAnsi="Times New Roman" w:eastAsia="宋体"/>
          <w:b w:val="0"/>
          <w:color w:val="000000"/>
          <w:sz w:val="28"/>
        </w:rPr>
        <w:t>表 5 容易被误读为"窗口越长越可预测"，实际情况相反：上一期价格基线随 h 增大误差迅速上升（90 天时 WAPE 达 23.20%），因此长窗口下"战胜基线"更容易，其中相当部分是</w:t>
      </w:r>
      <w:r>
        <w:rPr>
          <w:rFonts w:ascii="Times New Roman" w:hAnsi="Times New Roman" w:eastAsia="宋体"/>
          <w:b/>
          <w:color w:val="000000"/>
          <w:sz w:val="28"/>
        </w:rPr>
        <w:t>基线变弱而非模型变强</w:t>
      </w:r>
      <w:r>
        <w:rPr>
          <w:rFonts w:ascii="Times New Roman" w:hAnsi="Times New Roman" w:eastAsia="宋体"/>
          <w:b w:val="0"/>
          <w:color w:val="000000"/>
          <w:sz w:val="28"/>
        </w:rPr>
        <w:t>；同时模型平均 WAPE 从 7 天的 5.25% 升到 90 天的 14.70%，绝对精度是下降的。可见表 5 的胜出比例是相对指标，本文因此把主结论限定在 30 天窗口，60 天与 90 天结果仅作为基线失效背景下的相对改善。</w:t>
      </w:r>
    </w:p>
    <w:p>
      <w:pPr>
        <w:pStyle w:val="Heading2"/>
        <w:spacing w:line="300" w:lineRule="auto" w:before="200" w:after="80"/>
      </w:pPr>
      <w:r>
        <w:rPr>
          <w:rFonts w:ascii="Times New Roman" w:hAnsi="Times New Roman" w:eastAsia="黑体"/>
          <w:b/>
          <w:color w:val="000000"/>
          <w:sz w:val="28"/>
        </w:rPr>
        <w:t>（六）模型选择方式对预测结论的影响</w:t>
      </w:r>
    </w:p>
    <w:p>
      <w:pPr>
        <w:spacing w:line="300" w:lineRule="auto" w:before="140" w:after="0"/>
        <w:ind w:firstLine="560"/>
        <w:jc w:val="left"/>
      </w:pPr>
      <w:r>
        <w:rPr>
          <w:rFonts w:ascii="Times New Roman" w:hAnsi="Times New Roman" w:eastAsia="宋体"/>
          <w:b w:val="0"/>
          <w:color w:val="000000"/>
          <w:sz w:val="28"/>
        </w:rPr>
        <w:t>第四（三）节已经指出，最终模型由测试折指标选出。若模型选择与评价使用同一折，被选中的模型必然是在该折上表现最好的那一个，评价结果因此包含选择偏差；其量级需要单独测量，本文的处理是</w:t>
      </w:r>
      <w:r>
        <w:rPr>
          <w:rFonts w:ascii="Times New Roman" w:hAnsi="Times New Roman" w:eastAsia="宋体"/>
          <w:b/>
          <w:color w:val="000000"/>
          <w:sz w:val="28"/>
        </w:rPr>
        <w:t>严格前向模型选择</w:t>
      </w:r>
      <w:r>
        <w:rPr>
          <w:rFonts w:ascii="Times New Roman" w:hAnsi="Times New Roman" w:eastAsia="宋体"/>
          <w:b w:val="0"/>
          <w:color w:val="000000"/>
          <w:sz w:val="28"/>
        </w:rPr>
        <w:t>：评价某一折时只用严格更早的折为每个品种选择模型，候选池与主流程一致，被选中的模型再在该折上评价。由于 2024 折之前没有历史折，前向评价只能覆盖 2025 与 2026 两折。</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模型选择方式对 30 天窗口预测表现的影响</w:t>
      </w:r>
    </w:p>
    <w:tbl>
      <w:tblPr>
        <w:tblStyle w:val="TableGrid"/>
        <w:tblW w:type="auto" w:w="0"/>
        <w:jc w:val="center"/>
        <w:tblLook w:firstColumn="1" w:firstRow="1" w:lastColumn="0" w:lastRow="0" w:noHBand="0" w:noVBand="1" w:val="04A0"/>
      </w:tblPr>
      <w:tblGrid>
        <w:gridCol w:w="1662"/>
        <w:gridCol w:w="1662"/>
        <w:gridCol w:w="1662"/>
        <w:gridCol w:w="1662"/>
        <w:gridCol w:w="1662"/>
      </w:tblGrid>
      <w:tr>
        <w:trPr>
          <w:tblHeader w:val="true"/>
        </w:trPr>
        <w:tc>
          <w:tcPr>
            <w:tcW w:type="dxa" w:w="1662"/>
          </w:tcPr>
          <w:p>
            <w:pPr>
              <w:spacing w:line="240" w:lineRule="auto" w:before="20" w:after="20"/>
              <w:jc w:val="center"/>
            </w:pPr>
            <w:r/>
            <w:r>
              <w:rPr>
                <w:rFonts w:ascii="Times New Roman" w:hAnsi="Times New Roman" w:eastAsia="宋体"/>
                <w:b/>
                <w:color w:val="000000"/>
                <w:sz w:val="21"/>
              </w:rPr>
              <w:t>选择方式</w:t>
            </w:r>
          </w:p>
        </w:tc>
        <w:tc>
          <w:tcPr>
            <w:tcW w:type="dxa" w:w="1662"/>
          </w:tcPr>
          <w:p>
            <w:pPr>
              <w:spacing w:line="240" w:lineRule="auto" w:before="20" w:after="20"/>
              <w:jc w:val="center"/>
            </w:pPr>
            <w:r/>
            <w:r>
              <w:rPr>
                <w:rFonts w:ascii="Times New Roman" w:hAnsi="Times New Roman" w:eastAsia="宋体"/>
                <w:b/>
                <w:color w:val="000000"/>
                <w:sz w:val="21"/>
              </w:rPr>
              <w:t>评价折</w:t>
            </w:r>
          </w:p>
        </w:tc>
        <w:tc>
          <w:tcPr>
            <w:tcW w:type="dxa" w:w="1662"/>
          </w:tcPr>
          <w:p>
            <w:pPr>
              <w:spacing w:line="240" w:lineRule="auto" w:before="20" w:after="20"/>
              <w:jc w:val="center"/>
            </w:pPr>
            <w:r/>
            <w:r>
              <w:rPr>
                <w:rFonts w:ascii="Times New Roman" w:hAnsi="Times New Roman" w:eastAsia="宋体"/>
                <w:b/>
                <w:color w:val="000000"/>
                <w:sz w:val="21"/>
              </w:rPr>
              <w:t>品种×折记录</w:t>
            </w:r>
          </w:p>
        </w:tc>
        <w:tc>
          <w:tcPr>
            <w:tcW w:type="dxa" w:w="1662"/>
          </w:tcPr>
          <w:p>
            <w:pPr>
              <w:spacing w:line="240" w:lineRule="auto" w:before="20" w:after="20"/>
              <w:jc w:val="center"/>
            </w:pPr>
            <w:r/>
            <w:r>
              <w:rPr>
                <w:rFonts w:ascii="Times New Roman" w:hAnsi="Times New Roman" w:eastAsia="宋体"/>
                <w:b/>
                <w:color w:val="000000"/>
                <w:sz w:val="21"/>
              </w:rPr>
              <w:t>优于基线</w:t>
            </w:r>
          </w:p>
        </w:tc>
        <w:tc>
          <w:tcPr>
            <w:tcW w:type="dxa" w:w="1662"/>
          </w:tcPr>
          <w:p>
            <w:pPr>
              <w:spacing w:line="240" w:lineRule="auto" w:before="20" w:after="20"/>
              <w:jc w:val="center"/>
            </w:pPr>
            <w:r/>
            <w:r>
              <w:rPr>
                <w:rFonts w:ascii="Times New Roman" w:hAnsi="Times New Roman" w:eastAsia="宋体"/>
                <w:b/>
                <w:color w:val="000000"/>
                <w:sz w:val="21"/>
              </w:rPr>
              <w:t>平均相对改善</w:t>
            </w:r>
          </w:p>
        </w:tc>
      </w:tr>
      <w:tr>
        <w:tc>
          <w:tcPr>
            <w:tcW w:type="dxa" w:w="1662"/>
          </w:tcPr>
          <w:p>
            <w:pPr>
              <w:spacing w:line="240" w:lineRule="auto" w:before="20" w:after="20"/>
              <w:jc w:val="left"/>
            </w:pPr>
            <w:r/>
            <w:r>
              <w:rPr>
                <w:rFonts w:ascii="Times New Roman" w:hAnsi="Times New Roman" w:eastAsia="宋体"/>
                <w:b w:val="0"/>
                <w:color w:val="000000"/>
                <w:sz w:val="21"/>
              </w:rPr>
              <w:t>同折选择（第四（四）节口径）</w:t>
            </w:r>
          </w:p>
        </w:tc>
        <w:tc>
          <w:tcPr>
            <w:tcW w:type="dxa" w:w="1662"/>
          </w:tcPr>
          <w:p>
            <w:pPr>
              <w:spacing w:line="240" w:lineRule="auto" w:before="20" w:after="20"/>
              <w:jc w:val="left"/>
            </w:pPr>
            <w:r/>
            <w:r>
              <w:rPr>
                <w:rFonts w:ascii="Times New Roman" w:hAnsi="Times New Roman" w:eastAsia="宋体"/>
                <w:b w:val="0"/>
                <w:color w:val="000000"/>
                <w:sz w:val="21"/>
              </w:rPr>
              <w:t>2024+2025+2026</w:t>
            </w:r>
          </w:p>
        </w:tc>
        <w:tc>
          <w:tcPr>
            <w:tcW w:type="dxa" w:w="1662"/>
          </w:tcPr>
          <w:p>
            <w:pPr>
              <w:spacing w:line="240" w:lineRule="auto" w:before="20" w:after="20"/>
              <w:jc w:val="right"/>
            </w:pPr>
            <w:r/>
            <w:r>
              <w:rPr>
                <w:rFonts w:ascii="Times New Roman" w:hAnsi="Times New Roman" w:eastAsia="宋体"/>
                <w:b w:val="0"/>
                <w:color w:val="000000"/>
                <w:sz w:val="21"/>
              </w:rPr>
              <w:t>30</w:t>
            </w:r>
          </w:p>
        </w:tc>
        <w:tc>
          <w:tcPr>
            <w:tcW w:type="dxa" w:w="1662"/>
          </w:tcPr>
          <w:p>
            <w:pPr>
              <w:spacing w:line="240" w:lineRule="auto" w:before="20" w:after="20"/>
              <w:jc w:val="left"/>
            </w:pPr>
            <w:r/>
            <w:r>
              <w:rPr>
                <w:rFonts w:ascii="Times New Roman" w:hAnsi="Times New Roman" w:eastAsia="宋体"/>
                <w:b w:val="0"/>
                <w:color w:val="000000"/>
                <w:sz w:val="21"/>
              </w:rPr>
              <w:t>28（93.3%）</w:t>
            </w:r>
          </w:p>
        </w:tc>
        <w:tc>
          <w:tcPr>
            <w:tcW w:type="dxa" w:w="1662"/>
          </w:tcPr>
          <w:p>
            <w:pPr>
              <w:spacing w:line="240" w:lineRule="auto" w:before="20" w:after="20"/>
              <w:jc w:val="right"/>
            </w:pPr>
            <w:r/>
            <w:r>
              <w:rPr>
                <w:rFonts w:ascii="Times New Roman" w:hAnsi="Times New Roman" w:eastAsia="宋体"/>
                <w:b w:val="0"/>
                <w:color w:val="000000"/>
                <w:sz w:val="21"/>
              </w:rPr>
              <w:t>+17.94%</w:t>
            </w:r>
          </w:p>
        </w:tc>
      </w:tr>
      <w:tr>
        <w:tc>
          <w:tcPr>
            <w:tcW w:type="dxa" w:w="1662"/>
          </w:tcPr>
          <w:p>
            <w:pPr>
              <w:spacing w:line="240" w:lineRule="auto" w:before="20" w:after="20"/>
              <w:jc w:val="left"/>
            </w:pPr>
            <w:r/>
            <w:r>
              <w:rPr>
                <w:rFonts w:ascii="Times New Roman" w:hAnsi="Times New Roman" w:eastAsia="宋体"/>
                <w:b w:val="0"/>
                <w:color w:val="000000"/>
                <w:sz w:val="21"/>
              </w:rPr>
              <w:t>同折选择（仅取 2025+2026）</w:t>
            </w:r>
          </w:p>
        </w:tc>
        <w:tc>
          <w:tcPr>
            <w:tcW w:type="dxa" w:w="1662"/>
          </w:tcPr>
          <w:p>
            <w:pPr>
              <w:spacing w:line="240" w:lineRule="auto" w:before="20" w:after="20"/>
              <w:jc w:val="left"/>
            </w:pPr>
            <w:r/>
            <w:r>
              <w:rPr>
                <w:rFonts w:ascii="Times New Roman" w:hAnsi="Times New Roman" w:eastAsia="宋体"/>
                <w:b w:val="0"/>
                <w:color w:val="000000"/>
                <w:sz w:val="21"/>
              </w:rPr>
              <w:t>2025+2026</w:t>
            </w:r>
          </w:p>
        </w:tc>
        <w:tc>
          <w:tcPr>
            <w:tcW w:type="dxa" w:w="1662"/>
          </w:tcPr>
          <w:p>
            <w:pPr>
              <w:spacing w:line="240" w:lineRule="auto" w:before="20" w:after="20"/>
              <w:jc w:val="right"/>
            </w:pPr>
            <w:r/>
            <w:r>
              <w:rPr>
                <w:rFonts w:ascii="Times New Roman" w:hAnsi="Times New Roman" w:eastAsia="宋体"/>
                <w:b w:val="0"/>
                <w:color w:val="000000"/>
                <w:sz w:val="21"/>
              </w:rPr>
              <w:t>20</w:t>
            </w:r>
          </w:p>
        </w:tc>
        <w:tc>
          <w:tcPr>
            <w:tcW w:type="dxa" w:w="1662"/>
          </w:tcPr>
          <w:p>
            <w:pPr>
              <w:spacing w:line="240" w:lineRule="auto" w:before="20" w:after="20"/>
              <w:jc w:val="left"/>
            </w:pPr>
            <w:r/>
            <w:r>
              <w:rPr>
                <w:rFonts w:ascii="Times New Roman" w:hAnsi="Times New Roman" w:eastAsia="宋体"/>
                <w:b w:val="0"/>
                <w:color w:val="000000"/>
                <w:sz w:val="21"/>
              </w:rPr>
              <w:t>18（90.0%）</w:t>
            </w:r>
          </w:p>
        </w:tc>
        <w:tc>
          <w:tcPr>
            <w:tcW w:type="dxa" w:w="1662"/>
          </w:tcPr>
          <w:p>
            <w:pPr>
              <w:spacing w:line="240" w:lineRule="auto" w:before="20" w:after="20"/>
              <w:jc w:val="right"/>
            </w:pPr>
            <w:r/>
            <w:r>
              <w:rPr>
                <w:rFonts w:ascii="Times New Roman" w:hAnsi="Times New Roman" w:eastAsia="宋体"/>
                <w:b w:val="0"/>
                <w:color w:val="000000"/>
                <w:sz w:val="21"/>
              </w:rPr>
              <w:t>+18.86%</w:t>
            </w:r>
          </w:p>
        </w:tc>
      </w:tr>
      <w:tr>
        <w:tc>
          <w:tcPr>
            <w:tcW w:type="dxa" w:w="1662"/>
          </w:tcPr>
          <w:p>
            <w:pPr>
              <w:spacing w:line="240" w:lineRule="auto" w:before="20" w:after="20"/>
              <w:jc w:val="left"/>
            </w:pPr>
            <w:r/>
            <w:r>
              <w:rPr>
                <w:rFonts w:ascii="Times New Roman" w:hAnsi="Times New Roman" w:eastAsia="宋体"/>
                <w:b w:val="0"/>
                <w:color w:val="000000"/>
                <w:sz w:val="21"/>
              </w:rPr>
              <w:t>严格前向选择</w:t>
            </w:r>
          </w:p>
        </w:tc>
        <w:tc>
          <w:tcPr>
            <w:tcW w:type="dxa" w:w="1662"/>
          </w:tcPr>
          <w:p>
            <w:pPr>
              <w:spacing w:line="240" w:lineRule="auto" w:before="20" w:after="20"/>
              <w:jc w:val="left"/>
            </w:pPr>
            <w:r/>
            <w:r>
              <w:rPr>
                <w:rFonts w:ascii="Times New Roman" w:hAnsi="Times New Roman" w:eastAsia="宋体"/>
                <w:b w:val="0"/>
                <w:color w:val="000000"/>
                <w:sz w:val="21"/>
              </w:rPr>
              <w:t>2025+2026</w:t>
            </w:r>
          </w:p>
        </w:tc>
        <w:tc>
          <w:tcPr>
            <w:tcW w:type="dxa" w:w="1662"/>
          </w:tcPr>
          <w:p>
            <w:pPr>
              <w:spacing w:line="240" w:lineRule="auto" w:before="20" w:after="20"/>
              <w:jc w:val="right"/>
            </w:pPr>
            <w:r/>
            <w:r>
              <w:rPr>
                <w:rFonts w:ascii="Times New Roman" w:hAnsi="Times New Roman" w:eastAsia="宋体"/>
                <w:b w:val="0"/>
                <w:color w:val="000000"/>
                <w:sz w:val="21"/>
              </w:rPr>
              <w:t>20</w:t>
            </w:r>
          </w:p>
        </w:tc>
        <w:tc>
          <w:tcPr>
            <w:tcW w:type="dxa" w:w="1662"/>
          </w:tcPr>
          <w:p>
            <w:pPr>
              <w:spacing w:line="240" w:lineRule="auto" w:before="20" w:after="20"/>
              <w:jc w:val="left"/>
            </w:pPr>
            <w:r/>
            <w:r>
              <w:rPr>
                <w:rFonts w:ascii="Times New Roman" w:hAnsi="Times New Roman" w:eastAsia="宋体"/>
                <w:b w:val="0"/>
                <w:color w:val="000000"/>
                <w:sz w:val="21"/>
              </w:rPr>
              <w:t>9（45.0%）</w:t>
            </w:r>
          </w:p>
        </w:tc>
        <w:tc>
          <w:tcPr>
            <w:tcW w:type="dxa" w:w="1662"/>
          </w:tcPr>
          <w:p>
            <w:pPr>
              <w:spacing w:line="240" w:lineRule="auto" w:before="20" w:after="20"/>
              <w:jc w:val="right"/>
            </w:pPr>
            <w:r/>
            <w:r>
              <w:rPr>
                <w:rFonts w:ascii="Times New Roman" w:hAnsi="Times New Roman" w:eastAsia="宋体"/>
                <w:b w:val="0"/>
                <w:color w:val="000000"/>
                <w:sz w:val="21"/>
              </w:rPr>
              <w:t>−3.99%</w:t>
            </w:r>
          </w:p>
        </w:tc>
      </w:tr>
      <w:tr>
        <w:tc>
          <w:tcPr>
            <w:tcW w:type="dxa" w:w="1662"/>
          </w:tcPr>
          <w:p>
            <w:pPr>
              <w:spacing w:line="240" w:lineRule="auto" w:before="20" w:after="20"/>
              <w:jc w:val="left"/>
            </w:pPr>
            <w:r/>
            <w:r>
              <w:rPr>
                <w:rFonts w:ascii="Times New Roman" w:hAnsi="Times New Roman" w:eastAsia="宋体"/>
                <w:b w:val="0"/>
                <w:color w:val="000000"/>
                <w:sz w:val="21"/>
              </w:rPr>
              <w:t>严格前向选择（排除调参模型）</w:t>
            </w:r>
          </w:p>
        </w:tc>
        <w:tc>
          <w:tcPr>
            <w:tcW w:type="dxa" w:w="1662"/>
          </w:tcPr>
          <w:p>
            <w:pPr>
              <w:spacing w:line="240" w:lineRule="auto" w:before="20" w:after="20"/>
              <w:jc w:val="left"/>
            </w:pPr>
            <w:r/>
            <w:r>
              <w:rPr>
                <w:rFonts w:ascii="Times New Roman" w:hAnsi="Times New Roman" w:eastAsia="宋体"/>
                <w:b w:val="0"/>
                <w:color w:val="000000"/>
                <w:sz w:val="21"/>
              </w:rPr>
              <w:t>2025+2026</w:t>
            </w:r>
          </w:p>
        </w:tc>
        <w:tc>
          <w:tcPr>
            <w:tcW w:type="dxa" w:w="1662"/>
          </w:tcPr>
          <w:p>
            <w:pPr>
              <w:spacing w:line="240" w:lineRule="auto" w:before="20" w:after="20"/>
              <w:jc w:val="right"/>
            </w:pPr>
            <w:r/>
            <w:r>
              <w:rPr>
                <w:rFonts w:ascii="Times New Roman" w:hAnsi="Times New Roman" w:eastAsia="宋体"/>
                <w:b w:val="0"/>
                <w:color w:val="000000"/>
                <w:sz w:val="21"/>
              </w:rPr>
              <w:t>20</w:t>
            </w:r>
          </w:p>
        </w:tc>
        <w:tc>
          <w:tcPr>
            <w:tcW w:type="dxa" w:w="1662"/>
          </w:tcPr>
          <w:p>
            <w:pPr>
              <w:spacing w:line="240" w:lineRule="auto" w:before="20" w:after="20"/>
              <w:jc w:val="left"/>
            </w:pPr>
            <w:r/>
            <w:r>
              <w:rPr>
                <w:rFonts w:ascii="Times New Roman" w:hAnsi="Times New Roman" w:eastAsia="宋体"/>
                <w:b w:val="0"/>
                <w:color w:val="000000"/>
                <w:sz w:val="21"/>
              </w:rPr>
              <w:t>8（40.0%）</w:t>
            </w:r>
          </w:p>
        </w:tc>
        <w:tc>
          <w:tcPr>
            <w:tcW w:type="dxa" w:w="1662"/>
          </w:tcPr>
          <w:p>
            <w:pPr>
              <w:spacing w:line="240" w:lineRule="auto" w:before="20" w:after="20"/>
              <w:jc w:val="right"/>
            </w:pPr>
            <w:r/>
            <w:r>
              <w:rPr>
                <w:rFonts w:ascii="Times New Roman" w:hAnsi="Times New Roman" w:eastAsia="宋体"/>
                <w:b w:val="0"/>
                <w:color w:val="000000"/>
                <w:sz w:val="21"/>
              </w:rPr>
              <w:t>−7.47%</w:t>
            </w:r>
          </w:p>
        </w:tc>
      </w:tr>
    </w:tbl>
    <w:p>
      <w:pPr>
        <w:spacing w:before="0"/>
      </w:pPr>
    </w:p>
    <w:p>
      <w:pPr>
        <w:spacing w:line="300" w:lineRule="auto" w:before="140" w:after="0"/>
        <w:ind w:firstLine="560"/>
        <w:jc w:val="left"/>
      </w:pPr>
      <w:r>
        <w:rPr>
          <w:rFonts w:ascii="Times New Roman" w:hAnsi="Times New Roman" w:eastAsia="宋体"/>
          <w:b w:val="0"/>
          <w:color w:val="000000"/>
          <w:sz w:val="28"/>
        </w:rPr>
        <w:t>表 6 是预测部分最重要的结果：表 4 的"7/10 优于基线"高度依赖选择方式。分折看，2025 折在同折选择下 8/10 品种优于基线、平均改善 +13.58%，严格前向选择下降到 3/10、平均改善 −16.48%，即整体劣于基线；2026 折由 10/10（+24.13%）降到 6/10（+8.49%）。</w:t>
      </w:r>
    </w:p>
    <w:p>
      <w:pPr>
        <w:spacing w:line="300" w:lineRule="auto" w:before="140" w:after="0"/>
        <w:ind w:firstLine="560"/>
        <w:jc w:val="left"/>
      </w:pPr>
      <w:r>
        <w:rPr>
          <w:rFonts w:ascii="Times New Roman" w:hAnsi="Times New Roman" w:eastAsia="宋体"/>
          <w:b w:val="0"/>
          <w:color w:val="000000"/>
          <w:sz w:val="28"/>
        </w:rPr>
        <w:t>这一差距有两种可能来源：一是被选中的模型在评价折上存在"恰好表现最好"的运气成分，前向选择去掉了这部分；二是市场结构发生了不利于模型的变化而模型未能适应，既有研究提示后一种情况确实存在[7]。本文数据不支持区分二者，但两种解释都指向同一结论：表 4 的精度改善不能理解为稳定的样本外能力。</w:t>
      </w:r>
    </w:p>
    <w:p>
      <w:pPr>
        <w:spacing w:line="300" w:lineRule="auto" w:before="140" w:after="0"/>
        <w:ind w:firstLine="560"/>
        <w:jc w:val="left"/>
      </w:pPr>
      <w:r>
        <w:rPr>
          <w:rFonts w:ascii="Times New Roman" w:hAnsi="Times New Roman" w:eastAsia="宋体"/>
          <w:b w:val="0"/>
          <w:color w:val="000000"/>
          <w:sz w:val="28"/>
        </w:rPr>
        <w:t>超参数调优的信息边界同样需要说明。项目中的调优参数文件只记录最优参数与试验次数，未记录调优时间窗口与所用数据区间，因此无法确认调优是否触及评价期；作为敏感性检验，另以排除全部调参模型重跑，前向选择下平均改善为 −7.47%，与全池方向一致，说明该差距不主要来自调参环节。</w:t>
      </w:r>
    </w:p>
    <w:p>
      <w:pPr>
        <w:spacing w:line="300" w:lineRule="auto" w:before="140" w:after="0"/>
        <w:ind w:firstLine="560"/>
        <w:jc w:val="left"/>
      </w:pPr>
      <w:r>
        <w:rPr>
          <w:rFonts w:ascii="Times New Roman" w:hAnsi="Times New Roman" w:eastAsia="宋体"/>
          <w:b/>
          <w:color w:val="000000"/>
          <w:sz w:val="28"/>
        </w:rPr>
        <w:t>因此，本文把预测相关结论定位为历史回顾性模型筛选与验证，不主张完全独立的样本外预测能力。</w:t>
      </w:r>
      <w:r>
        <w:rPr>
          <w:rFonts w:ascii="Times New Roman" w:hAnsi="Times New Roman" w:eastAsia="宋体"/>
          <w:b w:val="0"/>
          <w:color w:val="000000"/>
          <w:sz w:val="28"/>
        </w:rPr>
        <w:t xml:space="preserve"> 第六、七节的策略使用同一套回顾性筛选的模型，其市场机会收益估计同样继承这一偏差，解读时应相应下调。</w:t>
      </w:r>
    </w:p>
    <w:p>
      <w:pPr>
        <w:pStyle w:val="Heading1"/>
        <w:spacing w:line="300" w:lineRule="auto" w:before="240" w:after="120"/>
        <w:jc w:val="left"/>
      </w:pPr>
      <w:r>
        <w:rPr>
          <w:rFonts w:ascii="Times New Roman" w:hAnsi="Times New Roman" w:eastAsia="黑体"/>
          <w:b/>
          <w:color w:val="000000"/>
          <w:sz w:val="30"/>
        </w:rPr>
        <w:t>五、追高风险指数的构建与验证</w:t>
      </w:r>
    </w:p>
    <w:p>
      <w:pPr>
        <w:pStyle w:val="Heading2"/>
        <w:spacing w:line="300" w:lineRule="auto" w:before="200" w:after="80"/>
      </w:pPr>
      <w:r>
        <w:rPr>
          <w:rFonts w:ascii="Times New Roman" w:hAnsi="Times New Roman" w:eastAsia="黑体"/>
          <w:b/>
          <w:color w:val="000000"/>
          <w:sz w:val="28"/>
        </w:rPr>
        <w:t>（一）构念界定</w:t>
      </w:r>
    </w:p>
    <w:p>
      <w:pPr>
        <w:spacing w:line="300" w:lineRule="auto" w:before="140" w:after="0"/>
        <w:ind w:firstLine="560"/>
        <w:jc w:val="left"/>
      </w:pPr>
      <w:r>
        <w:rPr>
          <w:rFonts w:ascii="Times New Roman" w:hAnsi="Times New Roman" w:eastAsia="宋体"/>
          <w:b w:val="0"/>
          <w:color w:val="000000"/>
          <w:sz w:val="28"/>
        </w:rPr>
        <w:t>"追高"指市场参与者对近期价格持续上涨的品种产生跟进倾向。本文无法观测农户的种植或销售决策，因此 HRI 不是农户行为概率，也不衡量"有多少农户会跟风"。本文把 HRI 定义为市场环境指标，衡量某一品种当前处于"容易被追高"状态的程度：它回答的是"这个品种现在的价格形态是否像一个追高陷阱"，而不是"有多少人在追"。这一定义决定了 HRI 只能使用公开可得的价格信息构造，且只在任一历史时点使用过去信息计算。</w:t>
      </w:r>
    </w:p>
    <w:p>
      <w:pPr>
        <w:spacing w:line="300" w:lineRule="auto" w:before="140" w:after="0"/>
        <w:ind w:firstLine="560"/>
        <w:jc w:val="left"/>
      </w:pPr>
      <w:r>
        <w:rPr>
          <w:rFonts w:ascii="Times New Roman" w:hAnsi="Times New Roman" w:eastAsia="宋体"/>
          <w:b w:val="0"/>
          <w:color w:val="000000"/>
          <w:sz w:val="28"/>
        </w:rPr>
        <w:t>追高风险之所以值得单独度量，与蛛网理论和适应性预期理论关于供给反应时滞的论证有关[1,2]：若生产者依据近期价格形成预期，价格上行期就容易出现偏乐观的生产计划，而这一时期的价格形态可以从数据中辨识。需提前说明的是，前述农户层面的研究虽发现价格上升引发的调整显著更强[3]，但该研究基于橡胶种植户，本文无法据此推断蔬菜生产者；本文能够检验的只是价格形态与后续收益之间的关系。</w:t>
      </w:r>
    </w:p>
    <w:p>
      <w:pPr>
        <w:pStyle w:val="Heading2"/>
        <w:spacing w:line="300" w:lineRule="auto" w:before="200" w:after="80"/>
      </w:pPr>
      <w:r>
        <w:rPr>
          <w:rFonts w:ascii="Times New Roman" w:hAnsi="Times New Roman" w:eastAsia="黑体"/>
          <w:b/>
          <w:color w:val="000000"/>
          <w:sz w:val="28"/>
        </w:rPr>
        <w:t>（二）六组件合成</w:t>
      </w:r>
    </w:p>
    <w:p>
      <w:pPr>
        <w:spacing w:line="300" w:lineRule="auto" w:before="140" w:after="0"/>
        <w:ind w:firstLine="560"/>
        <w:jc w:val="left"/>
      </w:pPr>
      <w:r>
        <w:rPr>
          <w:rFonts w:ascii="Times New Roman" w:hAnsi="Times New Roman" w:eastAsia="宋体"/>
          <w:b w:val="0"/>
          <w:color w:val="000000"/>
          <w:sz w:val="28"/>
        </w:rPr>
        <w:t>HRI 由六个标准化分量加权合成，权重依次为 0.30、0.25、0.15、0.10、0.15、0.05，对应价格水平分位、短周期涨幅分位（过去 4 周）、中周期涨幅分位（过去 12 周）、连续上涨天数分位、波动率分位（12 周滚动）与面积信号。参考数据中没有城市×品种的面积时序，最后一个分量记为缺失，不进入加权。权重体现各分量对追高诱因的不同贡献：价格水平分位最高，因为绝对价格水平是判断是否值得扩种最直观的依据；短周期涨幅对应近期动能；波动率与中周期涨幅同时包含机会与风险信息。</w:t>
      </w:r>
    </w:p>
    <w:p>
      <w:pPr>
        <w:spacing w:line="300" w:lineRule="auto" w:before="140" w:after="0"/>
        <w:ind w:firstLine="560"/>
        <w:jc w:val="left"/>
      </w:pPr>
      <w:r>
        <w:rPr>
          <w:rFonts w:ascii="Times New Roman" w:hAnsi="Times New Roman" w:eastAsia="宋体"/>
          <w:b w:val="0"/>
          <w:color w:val="000000"/>
          <w:sz w:val="28"/>
        </w:rPr>
        <w:t>权重体现各分量对追高诱因的不同贡献：价格水平分位最高，因为绝对价格水平是生产者判断"当前是否值得扩大种植"最直观的依据；短周期涨幅次之，对应近期动能；波动率与中周期涨幅再次，因为它们同时包含机会与风险信息。面积信号本应是追高最直接的证据，但数据缺失，本文只能在方法上标注这一缺口，不能以其他分量替代。</w:t>
      </w:r>
    </w:p>
    <w:p>
      <w:pPr>
        <w:spacing w:line="300" w:lineRule="auto" w:before="140" w:after="0"/>
        <w:ind w:firstLine="560"/>
        <w:jc w:val="left"/>
      </w:pPr>
      <w:r>
        <w:rPr>
          <w:rFonts w:ascii="Times New Roman" w:hAnsi="Times New Roman" w:eastAsia="宋体"/>
          <w:b w:val="0"/>
          <w:color w:val="000000"/>
          <w:sz w:val="28"/>
        </w:rPr>
        <w:t>所有分位均采用扩张窗口（past-only）计算；缺失分量不填 0，而是从加权中剔除，因为缺失不等于零风险。HRI 合成后再计算其自身的历史分位并划分等级。</w:t>
      </w:r>
    </w:p>
    <w:p>
      <w:pPr>
        <w:spacing w:line="300" w:lineRule="auto" w:before="140" w:after="0"/>
        <w:ind w:firstLine="560"/>
        <w:jc w:val="left"/>
      </w:pPr>
      <w:r>
        <w:rPr>
          <w:rFonts w:ascii="Times New Roman" w:hAnsi="Times New Roman" w:eastAsia="宋体"/>
          <w:b w:val="0"/>
          <w:color w:val="000000"/>
          <w:sz w:val="28"/>
        </w:rPr>
        <w:t>排序方式的选择在此处至关重要。"连续上涨天数分位"若采用全样本排名，同一历史时点的取值会随未来数据加入而变化，形成前视污染，并沿 HRI 传染到策略结论。本文以扩张窗口排名替代，并以前缀不变性检验确认：同一历史时点，只用截至该时点的数据计算的 HRI 与用全量历史计算的 HRI 在该行上逐值相等（最大差异为 0）。这一处理同时纠正了预热期取值：历史不足 40 周时 HRI 记为缺失（有效行由 3 010 降至 2 620）。</w:t>
      </w:r>
    </w:p>
    <w:p>
      <w:pPr>
        <w:pStyle w:val="Heading2"/>
        <w:spacing w:line="300" w:lineRule="auto" w:before="200" w:after="80"/>
      </w:pPr>
      <w:r>
        <w:rPr>
          <w:rFonts w:ascii="Times New Roman" w:hAnsi="Times New Roman" w:eastAsia="黑体"/>
          <w:b/>
          <w:color w:val="000000"/>
          <w:sz w:val="28"/>
        </w:rPr>
        <w:t>（三）验证设计</w:t>
      </w:r>
    </w:p>
    <w:p>
      <w:pPr>
        <w:spacing w:line="300" w:lineRule="auto" w:before="140" w:after="0"/>
        <w:ind w:firstLine="560"/>
        <w:jc w:val="left"/>
      </w:pPr>
      <w:r>
        <w:rPr>
          <w:rFonts w:ascii="Times New Roman" w:hAnsi="Times New Roman" w:eastAsia="宋体"/>
          <w:b w:val="0"/>
          <w:color w:val="000000"/>
          <w:sz w:val="28"/>
        </w:rPr>
        <w:t>验证回答的问题是"高 HRI 之后的未来收益是否更低"。对每个品种，按 HRI 历史分位分为高组（≥P80）与低组（≤P50），比较两组未来 4、8、12 周收益。由于未来窗口高度重叠，普通检验会产生虚假显著性，因此同时使用三类方法：非重叠抽样（每 w 周取 1 个观测）、循环块 Bootstrap[17]（两组中心化序列分别重采样，块长等于预测窗口）、Newey-West/HAC 回归[10,11]。对未来窗口实施严格右删失，仅当未来 h 周完整可观察时才生成标签。最后施加 BH-FDR 多重检验校正[18]，覆盖 10 品种 × 3 窗口共 30 项检验。</w:t>
      </w:r>
    </w:p>
    <w:p>
      <w:pPr>
        <w:spacing w:line="300" w:lineRule="auto" w:before="140" w:after="0"/>
        <w:ind w:firstLine="560"/>
        <w:jc w:val="left"/>
      </w:pPr>
      <w:r>
        <w:rPr>
          <w:rFonts w:ascii="Times New Roman" w:hAnsi="Times New Roman" w:eastAsia="宋体"/>
          <w:b w:val="0"/>
          <w:color w:val="000000"/>
          <w:sz w:val="28"/>
        </w:rPr>
        <w:t>三类方法各有代价：非重叠抽样直接消除窗口重叠但会大幅减少样本，循环块 Bootstrap 保留时间依赖但依赖块长设定，HAC 处理自相关但对滞后阶敏感。因此本文要求结论在多种方法下方向一致，并以三者同时通过作为更严的门槛。</w:t>
      </w:r>
    </w:p>
    <w:p>
      <w:pPr>
        <w:pStyle w:val="Heading2"/>
        <w:spacing w:line="300" w:lineRule="auto" w:before="200" w:after="80"/>
      </w:pPr>
      <w:r>
        <w:rPr>
          <w:rFonts w:ascii="Times New Roman" w:hAnsi="Times New Roman" w:eastAsia="黑体"/>
          <w:b/>
          <w:color w:val="000000"/>
          <w:sz w:val="28"/>
        </w:rPr>
        <w:t>（四）验证结果与边界</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追高风险指数分组检验与多重检验校正结果（沈阳）</w:t>
      </w:r>
    </w:p>
    <w:tbl>
      <w:tblPr>
        <w:tblStyle w:val="TableGrid"/>
        <w:tblW w:type="auto" w:w="0"/>
        <w:jc w:val="center"/>
        <w:tblLook w:firstColumn="1" w:firstRow="1" w:lastColumn="0" w:lastRow="0" w:noHBand="0" w:noVBand="1" w:val="04A0"/>
      </w:tblPr>
      <w:tblGrid>
        <w:gridCol w:w="1662"/>
        <w:gridCol w:w="1662"/>
        <w:gridCol w:w="1662"/>
        <w:gridCol w:w="1662"/>
        <w:gridCol w:w="1662"/>
      </w:tblGrid>
      <w:tr>
        <w:trPr>
          <w:tblHeader w:val="true"/>
        </w:trPr>
        <w:tc>
          <w:tcPr>
            <w:tcW w:type="dxa" w:w="1662"/>
          </w:tcPr>
          <w:p>
            <w:pPr>
              <w:spacing w:line="240" w:lineRule="auto" w:before="20" w:after="20"/>
              <w:jc w:val="center"/>
            </w:pPr>
            <w:r/>
            <w:r>
              <w:rPr>
                <w:rFonts w:ascii="Times New Roman" w:hAnsi="Times New Roman" w:eastAsia="宋体"/>
                <w:b/>
                <w:color w:val="000000"/>
                <w:sz w:val="21"/>
              </w:rPr>
              <w:t>窗口</w:t>
            </w:r>
          </w:p>
        </w:tc>
        <w:tc>
          <w:tcPr>
            <w:tcW w:type="dxa" w:w="1662"/>
          </w:tcPr>
          <w:p>
            <w:pPr>
              <w:spacing w:line="240" w:lineRule="auto" w:before="20" w:after="20"/>
              <w:jc w:val="center"/>
            </w:pPr>
            <w:r/>
            <w:r>
              <w:rPr>
                <w:rFonts w:ascii="Times New Roman" w:hAnsi="Times New Roman" w:eastAsia="宋体"/>
                <w:b/>
                <w:color w:val="000000"/>
                <w:sz w:val="21"/>
              </w:rPr>
              <w:t>普通双侧检验显著</w:t>
            </w:r>
          </w:p>
        </w:tc>
        <w:tc>
          <w:tcPr>
            <w:tcW w:type="dxa" w:w="1662"/>
          </w:tcPr>
          <w:p>
            <w:pPr>
              <w:spacing w:line="240" w:lineRule="auto" w:before="20" w:after="20"/>
              <w:jc w:val="center"/>
            </w:pPr>
            <w:r/>
            <w:r>
              <w:rPr>
                <w:rFonts w:ascii="Times New Roman" w:hAnsi="Times New Roman" w:eastAsia="宋体"/>
                <w:b/>
                <w:color w:val="000000"/>
                <w:sz w:val="21"/>
              </w:rPr>
              <w:t>块 Bootstrap + HAC 同时显著</w:t>
            </w:r>
          </w:p>
        </w:tc>
        <w:tc>
          <w:tcPr>
            <w:tcW w:type="dxa" w:w="1662"/>
          </w:tcPr>
          <w:p>
            <w:pPr>
              <w:spacing w:line="240" w:lineRule="auto" w:before="20" w:after="20"/>
              <w:jc w:val="center"/>
            </w:pPr>
            <w:r/>
            <w:r>
              <w:rPr>
                <w:rFonts w:ascii="Times New Roman" w:hAnsi="Times New Roman" w:eastAsia="宋体"/>
                <w:b/>
                <w:color w:val="000000"/>
                <w:sz w:val="21"/>
              </w:rPr>
              <w:t>BH-FDR 校正后仍显著</w:t>
            </w:r>
          </w:p>
        </w:tc>
        <w:tc>
          <w:tcPr>
            <w:tcW w:type="dxa" w:w="1662"/>
          </w:tcPr>
          <w:p>
            <w:pPr>
              <w:spacing w:line="240" w:lineRule="auto" w:before="20" w:after="20"/>
              <w:jc w:val="center"/>
            </w:pPr>
            <w:r/>
            <w:r>
              <w:rPr>
                <w:rFonts w:ascii="Times New Roman" w:hAnsi="Times New Roman" w:eastAsia="宋体"/>
                <w:b/>
                <w:color w:val="000000"/>
                <w:sz w:val="21"/>
              </w:rPr>
              <w:t>非重叠检验可用品种</w:t>
            </w:r>
          </w:p>
        </w:tc>
      </w:tr>
      <w:tr>
        <w:tc>
          <w:tcPr>
            <w:tcW w:type="dxa" w:w="1662"/>
          </w:tcPr>
          <w:p>
            <w:pPr>
              <w:spacing w:line="240" w:lineRule="auto" w:before="20" w:after="20"/>
              <w:jc w:val="left"/>
            </w:pPr>
            <w:r/>
            <w:r>
              <w:rPr>
                <w:rFonts w:ascii="Times New Roman" w:hAnsi="Times New Roman" w:eastAsia="宋体"/>
                <w:b w:val="0"/>
                <w:color w:val="000000"/>
                <w:sz w:val="21"/>
              </w:rPr>
              <w:t>4 周</w:t>
            </w:r>
          </w:p>
        </w:tc>
        <w:tc>
          <w:tcPr>
            <w:tcW w:type="dxa" w:w="1662"/>
          </w:tcPr>
          <w:p>
            <w:pPr>
              <w:spacing w:line="240" w:lineRule="auto" w:before="20" w:after="20"/>
              <w:jc w:val="left"/>
            </w:pPr>
            <w:r/>
            <w:r>
              <w:rPr>
                <w:rFonts w:ascii="Times New Roman" w:hAnsi="Times New Roman" w:eastAsia="宋体"/>
                <w:b w:val="0"/>
                <w:color w:val="000000"/>
                <w:sz w:val="21"/>
              </w:rPr>
              <w:t>5/10</w:t>
            </w:r>
          </w:p>
        </w:tc>
        <w:tc>
          <w:tcPr>
            <w:tcW w:type="dxa" w:w="1662"/>
          </w:tcPr>
          <w:p>
            <w:pPr>
              <w:spacing w:line="240" w:lineRule="auto" w:before="20" w:after="20"/>
              <w:jc w:val="left"/>
            </w:pPr>
            <w:r/>
            <w:r>
              <w:rPr>
                <w:rFonts w:ascii="Times New Roman" w:hAnsi="Times New Roman" w:eastAsia="宋体"/>
                <w:b w:val="0"/>
                <w:color w:val="000000"/>
                <w:sz w:val="21"/>
              </w:rPr>
              <w:t>2/10</w:t>
            </w:r>
          </w:p>
        </w:tc>
        <w:tc>
          <w:tcPr>
            <w:tcW w:type="dxa" w:w="1662"/>
          </w:tcPr>
          <w:p>
            <w:pPr>
              <w:spacing w:line="240" w:lineRule="auto" w:before="20" w:after="20"/>
              <w:jc w:val="left"/>
            </w:pPr>
            <w:r/>
            <w:r>
              <w:rPr>
                <w:rFonts w:ascii="Times New Roman" w:hAnsi="Times New Roman" w:eastAsia="宋体"/>
                <w:b w:val="0"/>
                <w:color w:val="000000"/>
                <w:sz w:val="21"/>
              </w:rPr>
              <w:t>1/10</w:t>
            </w:r>
          </w:p>
        </w:tc>
        <w:tc>
          <w:tcPr>
            <w:tcW w:type="dxa" w:w="1662"/>
          </w:tcPr>
          <w:p>
            <w:pPr>
              <w:spacing w:line="240" w:lineRule="auto" w:before="20" w:after="20"/>
              <w:jc w:val="left"/>
            </w:pPr>
            <w:r/>
            <w:r>
              <w:rPr>
                <w:rFonts w:ascii="Times New Roman" w:hAnsi="Times New Roman" w:eastAsia="宋体"/>
                <w:b w:val="0"/>
                <w:color w:val="000000"/>
                <w:sz w:val="21"/>
              </w:rPr>
              <w:t>6/10</w:t>
            </w:r>
          </w:p>
        </w:tc>
      </w:tr>
      <w:tr>
        <w:tc>
          <w:tcPr>
            <w:tcW w:type="dxa" w:w="1662"/>
          </w:tcPr>
          <w:p>
            <w:pPr>
              <w:spacing w:line="240" w:lineRule="auto" w:before="20" w:after="20"/>
              <w:jc w:val="left"/>
            </w:pPr>
            <w:r/>
            <w:r>
              <w:rPr>
                <w:rFonts w:ascii="Times New Roman" w:hAnsi="Times New Roman" w:eastAsia="宋体"/>
                <w:b w:val="0"/>
                <w:color w:val="000000"/>
                <w:sz w:val="21"/>
              </w:rPr>
              <w:t>8 周</w:t>
            </w:r>
          </w:p>
        </w:tc>
        <w:tc>
          <w:tcPr>
            <w:tcW w:type="dxa" w:w="1662"/>
          </w:tcPr>
          <w:p>
            <w:pPr>
              <w:spacing w:line="240" w:lineRule="auto" w:before="20" w:after="20"/>
              <w:jc w:val="left"/>
            </w:pPr>
            <w:r/>
            <w:r>
              <w:rPr>
                <w:rFonts w:ascii="Times New Roman" w:hAnsi="Times New Roman" w:eastAsia="宋体"/>
                <w:b w:val="0"/>
                <w:color w:val="000000"/>
                <w:sz w:val="21"/>
              </w:rPr>
              <w:t>7/10</w:t>
            </w:r>
          </w:p>
        </w:tc>
        <w:tc>
          <w:tcPr>
            <w:tcW w:type="dxa" w:w="1662"/>
          </w:tcPr>
          <w:p>
            <w:pPr>
              <w:spacing w:line="240" w:lineRule="auto" w:before="20" w:after="20"/>
              <w:jc w:val="left"/>
            </w:pPr>
            <w:r/>
            <w:r>
              <w:rPr>
                <w:rFonts w:ascii="Times New Roman" w:hAnsi="Times New Roman" w:eastAsia="宋体"/>
                <w:b w:val="0"/>
                <w:color w:val="000000"/>
                <w:sz w:val="21"/>
              </w:rPr>
              <w:t>6/10</w:t>
            </w:r>
          </w:p>
        </w:tc>
        <w:tc>
          <w:tcPr>
            <w:tcW w:type="dxa" w:w="1662"/>
          </w:tcPr>
          <w:p>
            <w:pPr>
              <w:spacing w:line="240" w:lineRule="auto" w:before="20" w:after="20"/>
              <w:jc w:val="left"/>
            </w:pPr>
            <w:r/>
            <w:r>
              <w:rPr>
                <w:rFonts w:ascii="Times New Roman" w:hAnsi="Times New Roman" w:eastAsia="宋体"/>
                <w:b w:val="0"/>
                <w:color w:val="000000"/>
                <w:sz w:val="21"/>
              </w:rPr>
              <w:t>3/10</w:t>
            </w:r>
          </w:p>
        </w:tc>
        <w:tc>
          <w:tcPr>
            <w:tcW w:type="dxa" w:w="1662"/>
          </w:tcPr>
          <w:p>
            <w:pPr>
              <w:spacing w:line="240" w:lineRule="auto" w:before="20" w:after="20"/>
              <w:jc w:val="left"/>
            </w:pPr>
            <w:r/>
            <w:r>
              <w:rPr>
                <w:rFonts w:ascii="Times New Roman" w:hAnsi="Times New Roman" w:eastAsia="宋体"/>
                <w:b w:val="0"/>
                <w:color w:val="000000"/>
                <w:sz w:val="21"/>
              </w:rPr>
              <w:t>1/10</w:t>
            </w:r>
          </w:p>
        </w:tc>
      </w:tr>
      <w:tr>
        <w:tc>
          <w:tcPr>
            <w:tcW w:type="dxa" w:w="1662"/>
          </w:tcPr>
          <w:p>
            <w:pPr>
              <w:spacing w:line="240" w:lineRule="auto" w:before="20" w:after="20"/>
              <w:jc w:val="left"/>
            </w:pPr>
            <w:r/>
            <w:r>
              <w:rPr>
                <w:rFonts w:ascii="Times New Roman" w:hAnsi="Times New Roman" w:eastAsia="宋体"/>
                <w:b w:val="0"/>
                <w:color w:val="000000"/>
                <w:sz w:val="21"/>
              </w:rPr>
              <w:t>12 周</w:t>
            </w:r>
          </w:p>
        </w:tc>
        <w:tc>
          <w:tcPr>
            <w:tcW w:type="dxa" w:w="1662"/>
          </w:tcPr>
          <w:p>
            <w:pPr>
              <w:spacing w:line="240" w:lineRule="auto" w:before="20" w:after="20"/>
              <w:jc w:val="left"/>
            </w:pPr>
            <w:r/>
            <w:r>
              <w:rPr>
                <w:rFonts w:ascii="Times New Roman" w:hAnsi="Times New Roman" w:eastAsia="宋体"/>
                <w:b w:val="0"/>
                <w:color w:val="000000"/>
                <w:sz w:val="21"/>
              </w:rPr>
              <w:t>9/10</w:t>
            </w:r>
          </w:p>
        </w:tc>
        <w:tc>
          <w:tcPr>
            <w:tcW w:type="dxa" w:w="1662"/>
          </w:tcPr>
          <w:p>
            <w:pPr>
              <w:spacing w:line="240" w:lineRule="auto" w:before="20" w:after="20"/>
              <w:jc w:val="left"/>
            </w:pPr>
            <w:r/>
            <w:r>
              <w:rPr>
                <w:rFonts w:ascii="Times New Roman" w:hAnsi="Times New Roman" w:eastAsia="宋体"/>
                <w:b w:val="0"/>
                <w:color w:val="000000"/>
                <w:sz w:val="21"/>
              </w:rPr>
              <w:t>7/10</w:t>
            </w:r>
          </w:p>
        </w:tc>
        <w:tc>
          <w:tcPr>
            <w:tcW w:type="dxa" w:w="1662"/>
          </w:tcPr>
          <w:p>
            <w:pPr>
              <w:spacing w:line="240" w:lineRule="auto" w:before="20" w:after="20"/>
              <w:jc w:val="left"/>
            </w:pPr>
            <w:r/>
            <w:r>
              <w:rPr>
                <w:rFonts w:ascii="Times New Roman" w:hAnsi="Times New Roman" w:eastAsia="宋体"/>
                <w:b w:val="0"/>
                <w:color w:val="000000"/>
                <w:sz w:val="21"/>
              </w:rPr>
              <w:t>5/10</w:t>
            </w:r>
          </w:p>
        </w:tc>
        <w:tc>
          <w:tcPr>
            <w:tcW w:type="dxa" w:w="1662"/>
          </w:tcPr>
          <w:p>
            <w:pPr>
              <w:spacing w:line="240" w:lineRule="auto" w:before="20" w:after="20"/>
              <w:jc w:val="left"/>
            </w:pPr>
            <w:r/>
            <w:r>
              <w:rPr>
                <w:rFonts w:ascii="Times New Roman" w:hAnsi="Times New Roman" w:eastAsia="宋体"/>
                <w:b w:val="0"/>
                <w:color w:val="000000"/>
                <w:sz w:val="21"/>
              </w:rPr>
              <w:t>0/10</w:t>
            </w:r>
          </w:p>
        </w:tc>
      </w:tr>
    </w:tbl>
    <w:p>
      <w:pPr>
        <w:spacing w:before="0"/>
      </w:pPr>
    </w:p>
    <w:p>
      <w:pPr>
        <w:spacing w:line="300" w:lineRule="auto" w:before="140" w:after="0"/>
        <w:ind w:firstLine="560"/>
        <w:jc w:val="left"/>
      </w:pPr>
      <w:r>
        <w:rPr>
          <w:rFonts w:ascii="Times New Roman" w:hAnsi="Times New Roman" w:eastAsia="宋体"/>
          <w:b w:val="0"/>
          <w:color w:val="000000"/>
          <w:sz w:val="28"/>
        </w:rPr>
        <w:t>表 7 呈现一个清晰的梯度：随预测窗口从 4 周延长到 12 周，HRI 的区分力增强；随检验严格程度提高，显著品种数下降。这说明 HRI 与未来收益之间确实存在方向一致的关联，但强度低于未校正检验给人的印象。关于时滞，表 7 与已有研究方向一致：翟志宏等发现降雨对菜价的冲击存在滞后，日尺度在第 10—20 天达峰、月尺度滞后约一个月[5]。12 周强于 4 周与"蔬菜生产与流通对价格信号的反应需要数周至数月"相符，但这属于</w:t>
      </w:r>
      <w:r>
        <w:rPr>
          <w:rFonts w:ascii="Times New Roman" w:hAnsi="Times New Roman" w:eastAsia="宋体"/>
          <w:b/>
          <w:color w:val="000000"/>
          <w:sz w:val="28"/>
        </w:rPr>
        <w:t>解释性推测</w:t>
      </w:r>
      <w:r>
        <w:rPr>
          <w:rFonts w:ascii="Times New Roman" w:hAnsi="Times New Roman" w:eastAsia="宋体"/>
          <w:b w:val="0"/>
          <w:color w:val="000000"/>
          <w:sz w:val="28"/>
        </w:rPr>
        <w:t>。</w:t>
      </w:r>
    </w:p>
    <w:p>
      <w:pPr>
        <w:spacing w:line="300" w:lineRule="auto" w:before="140" w:after="0"/>
        <w:ind w:firstLine="560"/>
        <w:jc w:val="left"/>
      </w:pPr>
      <w:r>
        <w:rPr>
          <w:rFonts w:ascii="Times New Roman" w:hAnsi="Times New Roman" w:eastAsia="宋体"/>
          <w:b w:val="0"/>
          <w:color w:val="000000"/>
          <w:sz w:val="28"/>
        </w:rPr>
        <w:t>可以据此主张的是：HRI 与未来 12 周收益之间存在方向一致、中等强度的负向关联，普通双侧检验下 10 种蔬菜 9 种显著，经多重检验校正后仍有 5 种显著。相应地，本文不主张 HRI 在多数品种上稳健显著，不把非重叠检验结果作为证据，也不把 HRI 解释为跟风概率或因果变量。</w:t>
      </w:r>
    </w:p>
    <w:p>
      <w:pPr>
        <w:spacing w:line="300" w:lineRule="auto" w:before="140" w:after="0"/>
        <w:ind w:firstLine="560"/>
        <w:jc w:val="left"/>
      </w:pPr>
      <w:r>
        <w:rPr>
          <w:rFonts w:ascii="Times New Roman" w:hAnsi="Times New Roman" w:eastAsia="宋体"/>
          <w:b w:val="0"/>
          <w:color w:val="000000"/>
          <w:sz w:val="28"/>
        </w:rPr>
        <w:t>表 7 还有两点局限。其一，非重叠抽样检验在 12 周窗口未能给出有效结果——抽稀后每组样本不足，10 种蔬菜全部无法完成该检验，这使 12 周窗口失去了一个独立的稳健性验证渠道。其二，块 Bootstrap 的 p 值分辨率存在下界（1/2000），12 周窗口有 5 种蔬菜触及该下界，实际显著性可能被低估，也可能只是样本信息不足，两种解释无法用现有数据区分。</w:t>
      </w:r>
    </w:p>
    <w:p>
      <w:pPr>
        <w:spacing w:before="120" w:after="40"/>
        <w:jc w:val="center"/>
      </w:pPr>
      <w:r>
        <w:drawing>
          <wp:inline xmlns:a="http://schemas.openxmlformats.org/drawingml/2006/main" xmlns:pic="http://schemas.openxmlformats.org/drawingml/2006/picture">
            <wp:extent cx="5256000" cy="2556973"/>
            <wp:docPr id="3" name="Picture 3"/>
            <wp:cNvGraphicFramePr>
              <a:graphicFrameLocks noChangeAspect="1"/>
            </wp:cNvGraphicFramePr>
            <a:graphic>
              <a:graphicData uri="http://schemas.openxmlformats.org/drawingml/2006/picture">
                <pic:pic>
                  <pic:nvPicPr>
                    <pic:cNvPr id="0" name="F4_hri_significance.png"/>
                    <pic:cNvPicPr/>
                  </pic:nvPicPr>
                  <pic:blipFill>
                    <a:blip r:embed="rId13"/>
                    <a:stretch>
                      <a:fillRect/>
                    </a:stretch>
                  </pic:blipFill>
                  <pic:spPr>
                    <a:xfrm>
                      <a:off x="0" y="0"/>
                      <a:ext cx="5256000" cy="2556973"/>
                    </a:xfrm>
                    <a:prstGeom prst="rect"/>
                  </pic:spPr>
                </pic:pic>
              </a:graphicData>
            </a:graphic>
          </wp:inline>
        </w:drawing>
      </w:r>
    </w:p>
    <w:p>
      <w:pPr>
        <w:spacing w:line="240" w:lineRule="auto" w:before="40" w:after="160"/>
        <w:jc w:val="center"/>
      </w:pPr>
      <w:r>
        <w:rPr>
          <w:rFonts w:ascii="Times New Roman" w:hAnsi="Times New Roman" w:eastAsia="宋体"/>
          <w:b/>
          <w:color w:val="000000"/>
          <w:sz w:val="24"/>
        </w:rPr>
        <w:t xml:space="preserve">图 </w:t>
      </w:r>
      <w:r>
        <w:fldChar w:fldCharType="begin"/>
        <w:instrText xml:space="preserve">SEQ 图 \* ARABIC</w:instrText>
        <w:fldChar w:fldCharType="separate"/>
        <w:t>（Word 打开时自动更新）</w:t>
        <w:fldChar w:fldCharType="end"/>
      </w:r>
      <w:r>
        <w:rPr>
          <w:rFonts w:ascii="Times New Roman" w:hAnsi="Times New Roman" w:eastAsia="宋体"/>
          <w:b/>
          <w:color w:val="000000"/>
          <w:sz w:val="24"/>
        </w:rPr>
        <w:t xml:space="preserve">　追高风险指数验证：检验严格度提高后显著数量的衰减</w:t>
      </w:r>
    </w:p>
    <w:p>
      <w:pPr>
        <w:pStyle w:val="Heading2"/>
        <w:spacing w:line="300" w:lineRule="auto" w:before="200" w:after="80"/>
      </w:pPr>
      <w:r>
        <w:rPr>
          <w:rFonts w:ascii="Times New Roman" w:hAnsi="Times New Roman" w:eastAsia="黑体"/>
          <w:b/>
          <w:color w:val="000000"/>
          <w:sz w:val="28"/>
        </w:rPr>
        <w:t>（五）分年表现与关联性质</w:t>
      </w:r>
    </w:p>
    <w:p>
      <w:pPr>
        <w:spacing w:line="300" w:lineRule="auto" w:before="140" w:after="0"/>
        <w:ind w:firstLine="560"/>
        <w:jc w:val="left"/>
      </w:pPr>
      <w:r>
        <w:rPr>
          <w:rFonts w:ascii="Times New Roman" w:hAnsi="Times New Roman" w:eastAsia="宋体"/>
          <w:b w:val="0"/>
          <w:color w:val="000000"/>
          <w:sz w:val="28"/>
        </w:rPr>
        <w:t>按年份分组，HRI 高/低组的未来 12 周收益差在 2022 年为 −0.454、2023 年 −0.371、2024 年 −0.574、2025 年 −0.176、2026 年 −0.331，各年普通检验均显著且符号一致。符号的跨年一致性说明 HRI 捕捉的更像是稳定的市场状态而非偶然样本，但幅度从 −0.176 到 −0.574 不等，强度并不稳定，</w:t>
      </w:r>
      <w:r>
        <w:rPr>
          <w:rFonts w:ascii="Times New Roman" w:hAnsi="Times New Roman" w:eastAsia="宋体"/>
          <w:b/>
          <w:color w:val="000000"/>
          <w:sz w:val="28"/>
        </w:rPr>
        <w:t>本文据此不主张把它用于定量预测，只用于风险状态提示</w:t>
      </w:r>
      <w:r>
        <w:rPr>
          <w:rFonts w:ascii="Times New Roman" w:hAnsi="Times New Roman" w:eastAsia="宋体"/>
          <w:b w:val="0"/>
          <w:color w:val="000000"/>
          <w:sz w:val="28"/>
        </w:rPr>
        <w:t>。2021 年未纳入分组比较，因为 HRI 需要至少 40 周历史才能形成有效分位，本文的 HRI 结论实际建立在 2022—2026 年。</w:t>
      </w:r>
    </w:p>
    <w:p>
      <w:pPr>
        <w:spacing w:line="300" w:lineRule="auto" w:before="140" w:after="0"/>
        <w:ind w:firstLine="560"/>
        <w:jc w:val="left"/>
      </w:pPr>
      <w:r>
        <w:rPr>
          <w:rFonts w:ascii="Times New Roman" w:hAnsi="Times New Roman" w:eastAsia="宋体"/>
          <w:b w:val="0"/>
          <w:color w:val="000000"/>
          <w:sz w:val="28"/>
        </w:rPr>
        <w:t>关联的性质需要一并说明。上述结果建立的是 HRI 与未来收益的统计关联，且 HRI 与价格水平、季节成分高度共线（与预测收益的截面相关约 0.30）。因此本文不主张 HRI 具有独立于价格水平的预测贡献；要确立这种贡献，需要在控制价格水平与季节之后做增量检验，本文将其列入后续工作。</w:t>
      </w:r>
    </w:p>
    <w:p>
      <w:pPr>
        <w:pStyle w:val="Heading1"/>
        <w:spacing w:line="300" w:lineRule="auto" w:before="240" w:after="120"/>
        <w:jc w:val="left"/>
      </w:pPr>
      <w:r>
        <w:rPr>
          <w:rFonts w:ascii="Times New Roman" w:hAnsi="Times New Roman" w:eastAsia="黑体"/>
          <w:b/>
          <w:color w:val="000000"/>
          <w:sz w:val="30"/>
        </w:rPr>
        <w:t>六、策略构建与滚动回测设计</w:t>
      </w:r>
    </w:p>
    <w:p>
      <w:pPr>
        <w:pStyle w:val="Heading2"/>
        <w:spacing w:line="300" w:lineRule="auto" w:before="200" w:after="80"/>
      </w:pPr>
      <w:r>
        <w:rPr>
          <w:rFonts w:ascii="Times New Roman" w:hAnsi="Times New Roman" w:eastAsia="黑体"/>
          <w:b/>
          <w:color w:val="000000"/>
          <w:sz w:val="28"/>
        </w:rPr>
        <w:t>（一）候选池与决策时点</w:t>
      </w:r>
    </w:p>
    <w:p>
      <w:pPr>
        <w:spacing w:line="300" w:lineRule="auto" w:before="140" w:after="0"/>
        <w:ind w:firstLine="560"/>
        <w:jc w:val="left"/>
      </w:pPr>
      <w:r>
        <w:rPr>
          <w:rFonts w:ascii="Times New Roman" w:hAnsi="Times New Roman" w:eastAsia="宋体"/>
          <w:b w:val="0"/>
          <w:color w:val="000000"/>
          <w:sz w:val="28"/>
        </w:rPr>
        <w:t>每个决策时点 t 的候选池为当日同时存在可用预测与历史特征的十个品种，策略的任务是在 t 日选出一个品种并持有 30 天。这一设定对应这样一个现实情形：生产者或采购方在某一时点需要在若干品种之间分配注意力。</w:t>
      </w:r>
    </w:p>
    <w:p>
      <w:pPr>
        <w:spacing w:line="300" w:lineRule="auto" w:before="140" w:after="0"/>
        <w:ind w:firstLine="560"/>
        <w:jc w:val="left"/>
      </w:pPr>
      <w:r>
        <w:rPr>
          <w:rFonts w:ascii="Times New Roman" w:hAnsi="Times New Roman" w:eastAsia="宋体"/>
          <w:b w:val="0"/>
          <w:color w:val="000000"/>
          <w:sz w:val="28"/>
        </w:rPr>
        <w:t>本文使用两种切点方案：7 天步长共 128 个切点，统计功效较高，但相邻切点的未来 30 天窗口高度重叠（约 4 重叠加权）；30 天步长共 31 个切点，样本近似独立但数量少。两者不是备选关系而是必须同时报告，全部策略结论均给出两种口径，并以不重叠口径作为更严标准。</w:t>
      </w:r>
    </w:p>
    <w:p>
      <w:pPr>
        <w:pStyle w:val="Heading2"/>
        <w:spacing w:line="300" w:lineRule="auto" w:before="200" w:after="80"/>
      </w:pPr>
      <w:r>
        <w:rPr>
          <w:rFonts w:ascii="Times New Roman" w:hAnsi="Times New Roman" w:eastAsia="黑体"/>
          <w:b/>
          <w:color w:val="000000"/>
          <w:sz w:val="28"/>
        </w:rPr>
        <w:t>（二）收益口径界定</w:t>
      </w:r>
    </w:p>
    <w:p>
      <w:pPr>
        <w:spacing w:line="300" w:lineRule="auto" w:before="140" w:after="0"/>
        <w:ind w:firstLine="560"/>
        <w:jc w:val="left"/>
      </w:pPr>
      <w:r>
        <w:rPr>
          <w:rFonts w:ascii="Times New Roman" w:hAnsi="Times New Roman" w:eastAsia="宋体"/>
          <w:b w:val="0"/>
          <w:color w:val="000000"/>
          <w:sz w:val="28"/>
        </w:rPr>
        <w:t>核心指标为市场价格机会收益，等于未来 30 天窗口均价除以建仓日价格再减 1，对应"在 t 日持有并在未来 30 天平均卖出"的价格结果。该指标不含成本、亩产、损耗、物流与交易费用，因此不是农户经营利润；它是回测中的机会指标，不是真实种植经营试验的结果。与均值同时报告的下行指标包括未来 30 天窗口最低价相对建仓价的变化、下跌概率、最差单次与 5% 分位。</w:t>
      </w:r>
    </w:p>
    <w:p>
      <w:pPr>
        <w:pStyle w:val="Heading2"/>
        <w:spacing w:line="300" w:lineRule="auto" w:before="200" w:after="80"/>
      </w:pPr>
      <w:r>
        <w:rPr>
          <w:rFonts w:ascii="Times New Roman" w:hAnsi="Times New Roman" w:eastAsia="黑体"/>
          <w:b/>
          <w:color w:val="000000"/>
          <w:sz w:val="28"/>
        </w:rPr>
        <w:t>（三）七个策略的定义</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策略定义与口径</w:t>
      </w:r>
    </w:p>
    <w:tbl>
      <w:tblPr>
        <w:tblStyle w:val="TableGrid"/>
        <w:tblW w:type="auto" w:w="0"/>
        <w:jc w:val="center"/>
        <w:tblLook w:firstColumn="1" w:firstRow="1" w:lastColumn="0" w:lastRow="0" w:noHBand="0" w:noVBand="1" w:val="04A0"/>
      </w:tblPr>
      <w:tblGrid>
        <w:gridCol w:w="2771"/>
        <w:gridCol w:w="2771"/>
        <w:gridCol w:w="2771"/>
      </w:tblGrid>
      <w:tr>
        <w:trPr>
          <w:tblHeader w:val="true"/>
        </w:trPr>
        <w:tc>
          <w:tcPr>
            <w:tcW w:type="dxa" w:w="2771"/>
          </w:tcPr>
          <w:p>
            <w:pPr>
              <w:spacing w:line="240" w:lineRule="auto" w:before="20" w:after="20"/>
              <w:jc w:val="center"/>
            </w:pPr>
            <w:r/>
            <w:r>
              <w:rPr>
                <w:rFonts w:ascii="Times New Roman" w:hAnsi="Times New Roman" w:eastAsia="宋体"/>
                <w:b/>
                <w:color w:val="000000"/>
                <w:sz w:val="21"/>
              </w:rPr>
              <w:t>策略</w:t>
            </w:r>
          </w:p>
        </w:tc>
        <w:tc>
          <w:tcPr>
            <w:tcW w:type="dxa" w:w="2771"/>
          </w:tcPr>
          <w:p>
            <w:pPr>
              <w:spacing w:line="240" w:lineRule="auto" w:before="20" w:after="20"/>
              <w:jc w:val="center"/>
            </w:pPr>
            <w:r/>
            <w:r>
              <w:rPr>
                <w:rFonts w:ascii="Times New Roman" w:hAnsi="Times New Roman" w:eastAsia="宋体"/>
                <w:b/>
                <w:color w:val="000000"/>
                <w:sz w:val="21"/>
              </w:rPr>
              <w:t>定义</w:t>
            </w:r>
          </w:p>
        </w:tc>
        <w:tc>
          <w:tcPr>
            <w:tcW w:type="dxa" w:w="2771"/>
          </w:tcPr>
          <w:p>
            <w:pPr>
              <w:spacing w:line="240" w:lineRule="auto" w:before="20" w:after="20"/>
              <w:jc w:val="center"/>
            </w:pPr>
            <w:r/>
            <w:r>
              <w:rPr>
                <w:rFonts w:ascii="Times New Roman" w:hAnsi="Times New Roman" w:eastAsia="宋体"/>
                <w:b/>
                <w:color w:val="000000"/>
                <w:sz w:val="21"/>
              </w:rPr>
              <w:t>角色</w:t>
            </w:r>
          </w:p>
        </w:tc>
      </w:tr>
      <w:tr>
        <w:tc>
          <w:tcPr>
            <w:tcW w:type="dxa" w:w="2771"/>
          </w:tcPr>
          <w:p>
            <w:pPr>
              <w:spacing w:line="240" w:lineRule="auto" w:before="20" w:after="20"/>
              <w:jc w:val="left"/>
            </w:pPr>
            <w:r/>
            <w:r>
              <w:rPr>
                <w:rFonts w:ascii="Times New Roman" w:hAnsi="Times New Roman" w:eastAsia="宋体"/>
                <w:b w:val="0"/>
                <w:color w:val="000000"/>
                <w:sz w:val="21"/>
              </w:rPr>
              <w:t>季节策略</w:t>
            </w:r>
          </w:p>
        </w:tc>
        <w:tc>
          <w:tcPr>
            <w:tcW w:type="dxa" w:w="2771"/>
          </w:tcPr>
          <w:p>
            <w:pPr>
              <w:spacing w:line="240" w:lineRule="auto" w:before="20" w:after="20"/>
              <w:jc w:val="left"/>
            </w:pPr>
            <w:r/>
            <w:r>
              <w:rPr>
                <w:rFonts w:ascii="Times New Roman" w:hAnsi="Times New Roman" w:eastAsia="宋体"/>
                <w:b w:val="0"/>
                <w:color w:val="000000"/>
                <w:sz w:val="21"/>
              </w:rPr>
              <w:t>同月历史中"已成熟且已在决策日可获知"的相对收益均值最高的品种</w:t>
            </w:r>
          </w:p>
        </w:tc>
        <w:tc>
          <w:tcPr>
            <w:tcW w:type="dxa" w:w="2771"/>
          </w:tcPr>
          <w:p>
            <w:pPr>
              <w:spacing w:line="240" w:lineRule="auto" w:before="20" w:after="20"/>
              <w:jc w:val="left"/>
            </w:pPr>
            <w:r/>
            <w:r>
              <w:rPr>
                <w:rFonts w:ascii="Times New Roman" w:hAnsi="Times New Roman" w:eastAsia="宋体"/>
                <w:b w:val="0"/>
                <w:color w:val="000000"/>
                <w:sz w:val="21"/>
              </w:rPr>
              <w:t>简单对照</w:t>
            </w:r>
          </w:p>
        </w:tc>
      </w:tr>
      <w:tr>
        <w:tc>
          <w:tcPr>
            <w:tcW w:type="dxa" w:w="2771"/>
          </w:tcPr>
          <w:p>
            <w:pPr>
              <w:spacing w:line="240" w:lineRule="auto" w:before="20" w:after="20"/>
              <w:jc w:val="left"/>
            </w:pPr>
            <w:r/>
            <w:r>
              <w:rPr>
                <w:rFonts w:ascii="Times New Roman" w:hAnsi="Times New Roman" w:eastAsia="宋体"/>
                <w:b w:val="0"/>
                <w:color w:val="000000"/>
                <w:sz w:val="21"/>
              </w:rPr>
              <w:t>相对收益策略</w:t>
            </w:r>
          </w:p>
        </w:tc>
        <w:tc>
          <w:tcPr>
            <w:tcW w:type="dxa" w:w="2771"/>
          </w:tcPr>
          <w:p>
            <w:pPr>
              <w:spacing w:line="240" w:lineRule="auto" w:before="20" w:after="20"/>
              <w:jc w:val="left"/>
            </w:pPr>
            <w:r/>
            <w:r>
              <w:rPr>
                <w:rFonts w:ascii="Times New Roman" w:hAnsi="Times New Roman" w:eastAsia="宋体"/>
                <w:b w:val="0"/>
                <w:color w:val="000000"/>
                <w:sz w:val="21"/>
              </w:rPr>
              <w:t>预测相对收益（预测均价/现价−1）最高的品种</w:t>
            </w:r>
          </w:p>
        </w:tc>
        <w:tc>
          <w:tcPr>
            <w:tcW w:type="dxa" w:w="2771"/>
          </w:tcPr>
          <w:p>
            <w:pPr>
              <w:spacing w:line="240" w:lineRule="auto" w:before="20" w:after="20"/>
              <w:jc w:val="left"/>
            </w:pPr>
            <w:r/>
            <w:r>
              <w:rPr>
                <w:rFonts w:ascii="Times New Roman" w:hAnsi="Times New Roman" w:eastAsia="宋体"/>
                <w:b w:val="0"/>
                <w:color w:val="000000"/>
                <w:sz w:val="21"/>
              </w:rPr>
              <w:t>预测驱动</w:t>
            </w:r>
          </w:p>
        </w:tc>
      </w:tr>
      <w:tr>
        <w:tc>
          <w:tcPr>
            <w:tcW w:type="dxa" w:w="2771"/>
          </w:tcPr>
          <w:p>
            <w:pPr>
              <w:spacing w:line="240" w:lineRule="auto" w:before="20" w:after="20"/>
              <w:jc w:val="left"/>
            </w:pPr>
            <w:r/>
            <w:r>
              <w:rPr>
                <w:rFonts w:ascii="Times New Roman" w:hAnsi="Times New Roman" w:eastAsia="宋体"/>
                <w:b w:val="0"/>
                <w:color w:val="000000"/>
                <w:sz w:val="21"/>
              </w:rPr>
              <w:t>风险平衡策略</w:t>
            </w:r>
          </w:p>
        </w:tc>
        <w:tc>
          <w:tcPr>
            <w:tcW w:type="dxa" w:w="2771"/>
          </w:tcPr>
          <w:p>
            <w:pPr>
              <w:spacing w:line="240" w:lineRule="auto" w:before="20" w:after="20"/>
              <w:jc w:val="left"/>
            </w:pPr>
            <w:r/>
            <w:r>
              <w:rPr>
                <w:rFonts w:ascii="Times New Roman" w:hAnsi="Times New Roman" w:eastAsia="宋体"/>
                <w:b w:val="0"/>
                <w:color w:val="000000"/>
                <w:sz w:val="21"/>
              </w:rPr>
              <w:t>0.30×预测收益分位 + 0.20×预测低分位收益，并抑制市场风险与追高</w:t>
            </w:r>
          </w:p>
        </w:tc>
        <w:tc>
          <w:tcPr>
            <w:tcW w:type="dxa" w:w="2771"/>
          </w:tcPr>
          <w:p>
            <w:pPr>
              <w:spacing w:line="240" w:lineRule="auto" w:before="20" w:after="20"/>
              <w:jc w:val="left"/>
            </w:pPr>
            <w:r/>
            <w:r>
              <w:rPr>
                <w:rFonts w:ascii="Times New Roman" w:hAnsi="Times New Roman" w:eastAsia="宋体"/>
                <w:b w:val="0"/>
                <w:color w:val="000000"/>
                <w:sz w:val="21"/>
              </w:rPr>
              <w:t>预测+风险</w:t>
            </w:r>
          </w:p>
        </w:tc>
      </w:tr>
      <w:tr>
        <w:tc>
          <w:tcPr>
            <w:tcW w:type="dxa" w:w="2771"/>
          </w:tcPr>
          <w:p>
            <w:pPr>
              <w:spacing w:line="240" w:lineRule="auto" w:before="20" w:after="20"/>
              <w:jc w:val="left"/>
            </w:pPr>
            <w:r/>
            <w:r>
              <w:rPr>
                <w:rFonts w:ascii="Times New Roman" w:hAnsi="Times New Roman" w:eastAsia="宋体"/>
                <w:b w:val="0"/>
                <w:color w:val="000000"/>
                <w:sz w:val="21"/>
              </w:rPr>
              <w:t>最小尾部风险策略</w:t>
            </w:r>
          </w:p>
        </w:tc>
        <w:tc>
          <w:tcPr>
            <w:tcW w:type="dxa" w:w="2771"/>
          </w:tcPr>
          <w:p>
            <w:pPr>
              <w:spacing w:line="240" w:lineRule="auto" w:before="20" w:after="20"/>
              <w:jc w:val="left"/>
            </w:pPr>
            <w:r/>
            <w:r>
              <w:rPr>
                <w:rFonts w:ascii="Times New Roman" w:hAnsi="Times New Roman" w:eastAsia="宋体"/>
                <w:b w:val="0"/>
                <w:color w:val="000000"/>
                <w:sz w:val="21"/>
              </w:rPr>
              <w:t>预测下分位收益 − 0.5×HRI 分位×预测收益</w:t>
            </w:r>
          </w:p>
        </w:tc>
        <w:tc>
          <w:tcPr>
            <w:tcW w:type="dxa" w:w="2771"/>
          </w:tcPr>
          <w:p>
            <w:pPr>
              <w:spacing w:line="240" w:lineRule="auto" w:before="20" w:after="20"/>
              <w:jc w:val="left"/>
            </w:pPr>
            <w:r/>
            <w:r>
              <w:rPr>
                <w:rFonts w:ascii="Times New Roman" w:hAnsi="Times New Roman" w:eastAsia="宋体"/>
                <w:b w:val="0"/>
                <w:color w:val="000000"/>
                <w:sz w:val="21"/>
              </w:rPr>
              <w:t>风险优先</w:t>
            </w:r>
          </w:p>
        </w:tc>
      </w:tr>
      <w:tr>
        <w:tc>
          <w:tcPr>
            <w:tcW w:type="dxa" w:w="2771"/>
          </w:tcPr>
          <w:p>
            <w:pPr>
              <w:spacing w:line="240" w:lineRule="auto" w:before="20" w:after="20"/>
              <w:jc w:val="left"/>
            </w:pPr>
            <w:r/>
            <w:r>
              <w:rPr>
                <w:rFonts w:ascii="Times New Roman" w:hAnsi="Times New Roman" w:eastAsia="宋体"/>
                <w:b w:val="0"/>
                <w:color w:val="000000"/>
                <w:sz w:val="21"/>
              </w:rPr>
              <w:t>随机基准</w:t>
            </w:r>
          </w:p>
        </w:tc>
        <w:tc>
          <w:tcPr>
            <w:tcW w:type="dxa" w:w="2771"/>
          </w:tcPr>
          <w:p>
            <w:pPr>
              <w:spacing w:line="240" w:lineRule="auto" w:before="20" w:after="20"/>
              <w:jc w:val="left"/>
            </w:pPr>
            <w:r/>
            <w:r>
              <w:rPr>
                <w:rFonts w:ascii="Times New Roman" w:hAnsi="Times New Roman" w:eastAsia="宋体"/>
                <w:b w:val="0"/>
                <w:color w:val="000000"/>
                <w:sz w:val="21"/>
              </w:rPr>
              <w:t>每个切点均匀随机选一个品种的期望</w:t>
            </w:r>
          </w:p>
        </w:tc>
        <w:tc>
          <w:tcPr>
            <w:tcW w:type="dxa" w:w="2771"/>
          </w:tcPr>
          <w:p>
            <w:pPr>
              <w:spacing w:line="240" w:lineRule="auto" w:before="20" w:after="20"/>
              <w:jc w:val="left"/>
            </w:pPr>
            <w:r/>
            <w:r>
              <w:rPr>
                <w:rFonts w:ascii="Times New Roman" w:hAnsi="Times New Roman" w:eastAsia="宋体"/>
                <w:b w:val="0"/>
                <w:color w:val="000000"/>
                <w:sz w:val="21"/>
              </w:rPr>
              <w:t>零信息基准</w:t>
            </w:r>
          </w:p>
        </w:tc>
      </w:tr>
      <w:tr>
        <w:tc>
          <w:tcPr>
            <w:tcW w:type="dxa" w:w="2771"/>
          </w:tcPr>
          <w:p>
            <w:pPr>
              <w:spacing w:line="240" w:lineRule="auto" w:before="20" w:after="20"/>
              <w:jc w:val="left"/>
            </w:pPr>
            <w:r/>
            <w:r>
              <w:rPr>
                <w:rFonts w:ascii="Times New Roman" w:hAnsi="Times New Roman" w:eastAsia="宋体"/>
                <w:b w:val="0"/>
                <w:color w:val="000000"/>
                <w:sz w:val="21"/>
              </w:rPr>
              <w:t>低风险策略</w:t>
            </w:r>
          </w:p>
        </w:tc>
        <w:tc>
          <w:tcPr>
            <w:tcW w:type="dxa" w:w="2771"/>
          </w:tcPr>
          <w:p>
            <w:pPr>
              <w:spacing w:line="240" w:lineRule="auto" w:before="20" w:after="20"/>
              <w:jc w:val="left"/>
            </w:pPr>
            <w:r/>
            <w:r>
              <w:rPr>
                <w:rFonts w:ascii="Times New Roman" w:hAnsi="Times New Roman" w:eastAsia="宋体"/>
                <w:b w:val="0"/>
                <w:color w:val="000000"/>
                <w:sz w:val="21"/>
              </w:rPr>
              <w:t>最小化市场风险与 HRI 之和</w:t>
            </w:r>
          </w:p>
        </w:tc>
        <w:tc>
          <w:tcPr>
            <w:tcW w:type="dxa" w:w="2771"/>
          </w:tcPr>
          <w:p>
            <w:pPr>
              <w:spacing w:line="240" w:lineRule="auto" w:before="20" w:after="20"/>
              <w:jc w:val="left"/>
            </w:pPr>
            <w:r/>
            <w:r>
              <w:rPr>
                <w:rFonts w:ascii="Times New Roman" w:hAnsi="Times New Roman" w:eastAsia="宋体"/>
                <w:b w:val="0"/>
                <w:color w:val="000000"/>
                <w:sz w:val="21"/>
              </w:rPr>
              <w:t>纯风险对照</w:t>
            </w:r>
          </w:p>
        </w:tc>
      </w:tr>
      <w:tr>
        <w:tc>
          <w:tcPr>
            <w:tcW w:type="dxa" w:w="2771"/>
          </w:tcPr>
          <w:p>
            <w:pPr>
              <w:spacing w:line="240" w:lineRule="auto" w:before="20" w:after="20"/>
              <w:jc w:val="left"/>
            </w:pPr>
            <w:r/>
            <w:r>
              <w:rPr>
                <w:rFonts w:ascii="Times New Roman" w:hAnsi="Times New Roman" w:eastAsia="宋体"/>
                <w:b w:val="0"/>
                <w:color w:val="000000"/>
                <w:sz w:val="21"/>
              </w:rPr>
              <w:t>追涨策略</w:t>
            </w:r>
          </w:p>
        </w:tc>
        <w:tc>
          <w:tcPr>
            <w:tcW w:type="dxa" w:w="2771"/>
          </w:tcPr>
          <w:p>
            <w:pPr>
              <w:spacing w:line="240" w:lineRule="auto" w:before="20" w:after="20"/>
              <w:jc w:val="left"/>
            </w:pPr>
            <w:r/>
            <w:r>
              <w:rPr>
                <w:rFonts w:ascii="Times New Roman" w:hAnsi="Times New Roman" w:eastAsia="宋体"/>
                <w:b w:val="0"/>
                <w:color w:val="000000"/>
                <w:sz w:val="21"/>
              </w:rPr>
              <w:t>过去 4 周相对涨幅最高的品种</w:t>
            </w:r>
          </w:p>
        </w:tc>
        <w:tc>
          <w:tcPr>
            <w:tcW w:type="dxa" w:w="2771"/>
          </w:tcPr>
          <w:p>
            <w:pPr>
              <w:spacing w:line="240" w:lineRule="auto" w:before="20" w:after="20"/>
              <w:jc w:val="left"/>
            </w:pPr>
            <w:r/>
            <w:r>
              <w:rPr>
                <w:rFonts w:ascii="Times New Roman" w:hAnsi="Times New Roman" w:eastAsia="宋体"/>
                <w:b w:val="0"/>
                <w:color w:val="000000"/>
                <w:sz w:val="21"/>
              </w:rPr>
              <w:t>反向对照</w:t>
            </w:r>
          </w:p>
        </w:tc>
      </w:tr>
    </w:tbl>
    <w:p>
      <w:pPr>
        <w:spacing w:before="0"/>
      </w:pPr>
    </w:p>
    <w:p>
      <w:pPr>
        <w:spacing w:line="300" w:lineRule="auto" w:before="140" w:after="0"/>
        <w:ind w:firstLine="560"/>
        <w:jc w:val="left"/>
      </w:pPr>
      <w:r>
        <w:rPr>
          <w:rFonts w:ascii="Times New Roman" w:hAnsi="Times New Roman" w:eastAsia="宋体"/>
          <w:b w:val="0"/>
          <w:color w:val="000000"/>
          <w:sz w:val="28"/>
        </w:rPr>
        <w:t>两处定义需要额外说明。</w:t>
      </w:r>
    </w:p>
    <w:p>
      <w:pPr>
        <w:spacing w:line="300" w:lineRule="auto" w:before="140" w:after="0"/>
        <w:ind w:firstLine="560"/>
        <w:jc w:val="left"/>
      </w:pPr>
      <w:r>
        <w:rPr>
          <w:rFonts w:ascii="Times New Roman" w:hAnsi="Times New Roman" w:eastAsia="宋体"/>
          <w:b w:val="0"/>
          <w:color w:val="000000"/>
          <w:sz w:val="28"/>
        </w:rPr>
        <w:t>季节策略必须使用可核验且时间可获知的样本。本文要求历史样本满足"标签可获知日期（历史日期 + 30 天 + 1 天发布滞后）不晚于决策日"，即只使用未来窗口已经闭合的历史观测。若仅要求"历史日期早于决策日"，在 2025-03-10 作决策时就会用到 2025-03-05 之后才形成的价格结果；这一差别会使季节策略的样本池被显著高估，其表现也随之被高估。该约束下季节策略的成绩被如实下调，本文按调整后的结果报告。</w:t>
      </w:r>
    </w:p>
    <w:p>
      <w:pPr>
        <w:spacing w:line="300" w:lineRule="auto" w:before="140" w:after="0"/>
        <w:ind w:firstLine="560"/>
        <w:jc w:val="left"/>
      </w:pPr>
      <w:r>
        <w:rPr>
          <w:rFonts w:ascii="Times New Roman" w:hAnsi="Times New Roman" w:eastAsia="宋体"/>
          <w:b w:val="0"/>
          <w:color w:val="000000"/>
          <w:sz w:val="28"/>
        </w:rPr>
        <w:t>代表机会的策略必须使用相对收益口径而非绝对价格水平。不同蔬菜的计价水平本来就不可比，选绝对价格最高者不等于选未来相对涨幅最高者；这一口径差异对结论的影响在第八（五）节以对照实验给出。</w:t>
      </w:r>
    </w:p>
    <w:p>
      <w:pPr>
        <w:pStyle w:val="Heading2"/>
        <w:spacing w:line="300" w:lineRule="auto" w:before="200" w:after="80"/>
      </w:pPr>
      <w:r>
        <w:rPr>
          <w:rFonts w:ascii="Times New Roman" w:hAnsi="Times New Roman" w:eastAsia="黑体"/>
          <w:b/>
          <w:color w:val="000000"/>
          <w:sz w:val="28"/>
        </w:rPr>
        <w:t>（四）推断方法</w:t>
      </w:r>
    </w:p>
    <w:p>
      <w:pPr>
        <w:spacing w:line="300" w:lineRule="auto" w:before="140" w:after="0"/>
        <w:ind w:firstLine="560"/>
        <w:jc w:val="left"/>
      </w:pPr>
      <w:r>
        <w:rPr>
          <w:rFonts w:ascii="Times New Roman" w:hAnsi="Times New Roman" w:eastAsia="宋体"/>
          <w:b w:val="0"/>
          <w:color w:val="000000"/>
          <w:sz w:val="28"/>
        </w:rPr>
        <w:t>策略比较采用配对设计：同一切点、同一候选池、同一持有期，因此策略差异中剔除了共同市场冲击，只反映选择能力。这一设计的必要性来自第五节引用的发现——蔬菜价格之间存在由共同因子驱动的普遍联动[4]，若分别回测各策略再比较均值，整个市场的涨跌会被计入策略差异。</w:t>
      </w:r>
    </w:p>
    <w:p>
      <w:pPr>
        <w:spacing w:line="300" w:lineRule="auto" w:before="140" w:after="0"/>
        <w:ind w:firstLine="560"/>
        <w:jc w:val="left"/>
      </w:pPr>
      <w:r>
        <w:rPr>
          <w:rFonts w:ascii="Times New Roman" w:hAnsi="Times New Roman" w:eastAsia="宋体"/>
          <w:b w:val="0"/>
          <w:color w:val="000000"/>
          <w:sz w:val="28"/>
        </w:rPr>
        <w:t>推断使用循环块 Bootstrap（块长与窗口重叠结构匹配：7 天切点取 5，30 天切点取 1）与 Newey-West/HAC 稳健标准误，并对块长取 {1,3,5,10}、HAC 滞后取 {1,3,5,8} 做敏感性分析，报告最不利值。多重比较使用 Bonferroni 与 BH-FDR，Bonferroni 家族取论文将报告的全部 9 个策略，以避免通过缩小家族获得更有利的判断。</w:t>
      </w:r>
    </w:p>
    <w:p>
      <w:pPr>
        <w:spacing w:line="300" w:lineRule="auto" w:before="140" w:after="0"/>
        <w:ind w:firstLine="560"/>
        <w:jc w:val="left"/>
      </w:pPr>
      <w:r>
        <w:rPr>
          <w:rFonts w:ascii="Times New Roman" w:hAnsi="Times New Roman" w:eastAsia="宋体"/>
          <w:b w:val="0"/>
          <w:color w:val="000000"/>
          <w:sz w:val="28"/>
        </w:rPr>
        <w:t>对随机基准，本文采用解析期望（每个切点候选池内各品种收益的均值）而非单次抽样；同时另做 500 次不同随机种子的重复抽样，以获得随机策略的实现分布，并区分"期望结果"与"随机实现分布"两类统计量。</w:t>
      </w:r>
    </w:p>
    <w:p>
      <w:pPr>
        <w:pStyle w:val="Heading2"/>
        <w:spacing w:line="300" w:lineRule="auto" w:before="200" w:after="80"/>
      </w:pPr>
      <w:r>
        <w:rPr>
          <w:rFonts w:ascii="Times New Roman" w:hAnsi="Times New Roman" w:eastAsia="黑体"/>
          <w:b/>
          <w:color w:val="000000"/>
          <w:sz w:val="28"/>
        </w:rPr>
        <w:t>（五）回测设定与现实决策的差距</w:t>
      </w:r>
    </w:p>
    <w:p>
      <w:pPr>
        <w:spacing w:line="300" w:lineRule="auto" w:before="140" w:after="0"/>
        <w:ind w:firstLine="560"/>
        <w:jc w:val="left"/>
      </w:pPr>
      <w:r>
        <w:rPr>
          <w:rFonts w:ascii="Times New Roman" w:hAnsi="Times New Roman" w:eastAsia="宋体"/>
          <w:b w:val="0"/>
          <w:color w:val="000000"/>
          <w:sz w:val="28"/>
        </w:rPr>
        <w:t>在解读结果之前需要说明回测与真实农业决策之间的距离。回测中策略的任务是从十个品种中选一个，现实中生产者面对的却是"种什么、种多少、何时卖"的连续决策，并受土地、资金与设施条件约束；回测固定持有 30 天，现实上市期由生育期、天气与市场节奏共同决定；回测不含成本、损耗、物流与人工，也未计入减产与病害损失，因此会高估可实现收益、低估经营不确定性；此外，回测假设决策者可在十个品种间自由切换，而现实调整存在黏性与沉没成本。</w:t>
      </w:r>
    </w:p>
    <w:p>
      <w:pPr>
        <w:spacing w:line="300" w:lineRule="auto" w:before="140" w:after="0"/>
        <w:ind w:firstLine="560"/>
        <w:jc w:val="left"/>
      </w:pPr>
      <w:r>
        <w:rPr>
          <w:rFonts w:ascii="Times New Roman" w:hAnsi="Times New Roman" w:eastAsia="宋体"/>
          <w:b w:val="0"/>
          <w:color w:val="000000"/>
          <w:sz w:val="28"/>
        </w:rPr>
        <w:t>这些差距意味着本文的策略结论只能用于判断信息是否有价值，不能用于判断应该种什么；第九节的政策建议据此限定在风险提示层面。</w:t>
      </w:r>
    </w:p>
    <w:p>
      <w:pPr>
        <w:pStyle w:val="Heading1"/>
        <w:spacing w:line="300" w:lineRule="auto" w:before="240" w:after="120"/>
        <w:jc w:val="left"/>
      </w:pPr>
      <w:r>
        <w:rPr>
          <w:rFonts w:ascii="Times New Roman" w:hAnsi="Times New Roman" w:eastAsia="黑体"/>
          <w:b/>
          <w:color w:val="000000"/>
          <w:sz w:val="30"/>
        </w:rPr>
        <w:t>七、实证结果</w:t>
      </w:r>
    </w:p>
    <w:p>
      <w:pPr>
        <w:pStyle w:val="Heading2"/>
        <w:spacing w:line="300" w:lineRule="auto" w:before="200" w:after="80"/>
      </w:pPr>
      <w:r>
        <w:rPr>
          <w:rFonts w:ascii="Times New Roman" w:hAnsi="Times New Roman" w:eastAsia="黑体"/>
          <w:b/>
          <w:color w:val="000000"/>
          <w:sz w:val="28"/>
        </w:rPr>
        <w:t>（一）策略水平与风险指标</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策略水平与风险指标（7 天步长，128 个切点）</w:t>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rPr>
          <w:tblHeader w:val="true"/>
        </w:trPr>
        <w:tc>
          <w:tcPr>
            <w:tcW w:type="dxa" w:w="1039"/>
          </w:tcPr>
          <w:p>
            <w:pPr>
              <w:spacing w:line="240" w:lineRule="auto" w:before="20" w:after="20"/>
              <w:jc w:val="center"/>
            </w:pPr>
            <w:r/>
            <w:r>
              <w:rPr>
                <w:rFonts w:ascii="Times New Roman" w:hAnsi="Times New Roman" w:eastAsia="宋体"/>
                <w:b/>
                <w:color w:val="000000"/>
                <w:sz w:val="21"/>
              </w:rPr>
              <w:t>策略</w:t>
            </w:r>
          </w:p>
        </w:tc>
        <w:tc>
          <w:tcPr>
            <w:tcW w:type="dxa" w:w="1039"/>
          </w:tcPr>
          <w:p>
            <w:pPr>
              <w:spacing w:line="240" w:lineRule="auto" w:before="20" w:after="20"/>
              <w:jc w:val="center"/>
            </w:pPr>
            <w:r/>
            <w:r>
              <w:rPr>
                <w:rFonts w:ascii="Times New Roman" w:hAnsi="Times New Roman" w:eastAsia="宋体"/>
                <w:b/>
                <w:color w:val="000000"/>
                <w:sz w:val="21"/>
              </w:rPr>
              <w:t>均值</w:t>
            </w:r>
          </w:p>
        </w:tc>
        <w:tc>
          <w:tcPr>
            <w:tcW w:type="dxa" w:w="1039"/>
          </w:tcPr>
          <w:p>
            <w:pPr>
              <w:spacing w:line="240" w:lineRule="auto" w:before="20" w:after="20"/>
              <w:jc w:val="center"/>
            </w:pPr>
            <w:r/>
            <w:r>
              <w:rPr>
                <w:rFonts w:ascii="Times New Roman" w:hAnsi="Times New Roman" w:eastAsia="宋体"/>
                <w:b/>
                <w:color w:val="000000"/>
                <w:sz w:val="21"/>
              </w:rPr>
              <w:t>中位</w:t>
            </w:r>
          </w:p>
        </w:tc>
        <w:tc>
          <w:tcPr>
            <w:tcW w:type="dxa" w:w="1039"/>
          </w:tcPr>
          <w:p>
            <w:pPr>
              <w:spacing w:line="240" w:lineRule="auto" w:before="20" w:after="20"/>
              <w:jc w:val="center"/>
            </w:pPr>
            <w:r/>
            <w:r>
              <w:rPr>
                <w:rFonts w:ascii="Times New Roman" w:hAnsi="Times New Roman" w:eastAsia="宋体"/>
                <w:b/>
                <w:color w:val="000000"/>
                <w:sz w:val="21"/>
              </w:rPr>
              <w:t>下行均值</w:t>
            </w:r>
          </w:p>
        </w:tc>
        <w:tc>
          <w:tcPr>
            <w:tcW w:type="dxa" w:w="1039"/>
          </w:tcPr>
          <w:p>
            <w:pPr>
              <w:spacing w:line="240" w:lineRule="auto" w:before="20" w:after="20"/>
              <w:jc w:val="center"/>
            </w:pPr>
            <w:r/>
            <w:r>
              <w:rPr>
                <w:rFonts w:ascii="Times New Roman" w:hAnsi="Times New Roman" w:eastAsia="宋体"/>
                <w:b/>
                <w:color w:val="000000"/>
                <w:sz w:val="21"/>
              </w:rPr>
              <w:t>最差</w:t>
            </w:r>
          </w:p>
        </w:tc>
        <w:tc>
          <w:tcPr>
            <w:tcW w:type="dxa" w:w="1039"/>
          </w:tcPr>
          <w:p>
            <w:pPr>
              <w:spacing w:line="240" w:lineRule="auto" w:before="20" w:after="20"/>
              <w:jc w:val="center"/>
            </w:pPr>
            <w:r/>
            <w:r>
              <w:rPr>
                <w:rFonts w:ascii="Times New Roman" w:hAnsi="Times New Roman" w:eastAsia="宋体"/>
                <w:b/>
                <w:color w:val="000000"/>
                <w:sz w:val="21"/>
              </w:rPr>
              <w:t>P05</w:t>
            </w:r>
          </w:p>
        </w:tc>
        <w:tc>
          <w:tcPr>
            <w:tcW w:type="dxa" w:w="1039"/>
          </w:tcPr>
          <w:p>
            <w:pPr>
              <w:spacing w:line="240" w:lineRule="auto" w:before="20" w:after="20"/>
              <w:jc w:val="center"/>
            </w:pPr>
            <w:r/>
            <w:r>
              <w:rPr>
                <w:rFonts w:ascii="Times New Roman" w:hAnsi="Times New Roman" w:eastAsia="宋体"/>
                <w:b/>
                <w:color w:val="000000"/>
                <w:sz w:val="21"/>
              </w:rPr>
              <w:t>下跌概率</w:t>
            </w:r>
          </w:p>
        </w:tc>
        <w:tc>
          <w:tcPr>
            <w:tcW w:type="dxa" w:w="1039"/>
          </w:tcPr>
          <w:p>
            <w:pPr>
              <w:spacing w:line="240" w:lineRule="auto" w:before="20" w:after="20"/>
              <w:jc w:val="center"/>
            </w:pPr>
            <w:r/>
            <w:r>
              <w:rPr>
                <w:rFonts w:ascii="Times New Roman" w:hAnsi="Times New Roman" w:eastAsia="宋体"/>
                <w:b/>
                <w:color w:val="000000"/>
                <w:sz w:val="21"/>
              </w:rPr>
              <w:t>高 HRI 命中率</w:t>
            </w:r>
          </w:p>
        </w:tc>
      </w:tr>
      <w:tr>
        <w:tc>
          <w:tcPr>
            <w:tcW w:type="dxa" w:w="1039"/>
          </w:tcPr>
          <w:p>
            <w:pPr>
              <w:spacing w:line="240" w:lineRule="auto" w:before="20" w:after="20"/>
              <w:jc w:val="left"/>
            </w:pPr>
            <w:r/>
            <w:r>
              <w:rPr>
                <w:rFonts w:ascii="Times New Roman" w:hAnsi="Times New Roman" w:eastAsia="宋体"/>
                <w:b w:val="0"/>
                <w:color w:val="000000"/>
                <w:sz w:val="21"/>
              </w:rPr>
              <w:t>相对收益策略</w:t>
            </w:r>
          </w:p>
        </w:tc>
        <w:tc>
          <w:tcPr>
            <w:tcW w:type="dxa" w:w="1039"/>
          </w:tcPr>
          <w:p>
            <w:pPr>
              <w:spacing w:line="240" w:lineRule="auto" w:before="20" w:after="20"/>
              <w:jc w:val="right"/>
            </w:pPr>
            <w:r/>
            <w:r>
              <w:rPr>
                <w:rFonts w:ascii="Times New Roman" w:hAnsi="Times New Roman" w:eastAsia="宋体"/>
                <w:b w:val="0"/>
                <w:color w:val="000000"/>
                <w:sz w:val="21"/>
              </w:rPr>
              <w:t>+11.77%</w:t>
            </w:r>
          </w:p>
        </w:tc>
        <w:tc>
          <w:tcPr>
            <w:tcW w:type="dxa" w:w="1039"/>
          </w:tcPr>
          <w:p>
            <w:pPr>
              <w:spacing w:line="240" w:lineRule="auto" w:before="20" w:after="20"/>
              <w:jc w:val="right"/>
            </w:pPr>
            <w:r/>
            <w:r>
              <w:rPr>
                <w:rFonts w:ascii="Times New Roman" w:hAnsi="Times New Roman" w:eastAsia="宋体"/>
                <w:b w:val="0"/>
                <w:color w:val="000000"/>
                <w:sz w:val="21"/>
              </w:rPr>
              <w:t>+5.23%</w:t>
            </w:r>
          </w:p>
        </w:tc>
        <w:tc>
          <w:tcPr>
            <w:tcW w:type="dxa" w:w="1039"/>
          </w:tcPr>
          <w:p>
            <w:pPr>
              <w:spacing w:line="240" w:lineRule="auto" w:before="20" w:after="20"/>
              <w:jc w:val="right"/>
            </w:pPr>
            <w:r/>
            <w:r>
              <w:rPr>
                <w:rFonts w:ascii="Times New Roman" w:hAnsi="Times New Roman" w:eastAsia="宋体"/>
                <w:b w:val="0"/>
                <w:color w:val="000000"/>
                <w:sz w:val="21"/>
              </w:rPr>
              <w:t>−8.32%</w:t>
            </w:r>
          </w:p>
        </w:tc>
        <w:tc>
          <w:tcPr>
            <w:tcW w:type="dxa" w:w="1039"/>
          </w:tcPr>
          <w:p>
            <w:pPr>
              <w:spacing w:line="240" w:lineRule="auto" w:before="20" w:after="20"/>
              <w:jc w:val="right"/>
            </w:pPr>
            <w:r/>
            <w:r>
              <w:rPr>
                <w:rFonts w:ascii="Times New Roman" w:hAnsi="Times New Roman" w:eastAsia="宋体"/>
                <w:b w:val="0"/>
                <w:color w:val="000000"/>
                <w:sz w:val="21"/>
              </w:rPr>
              <w:t>−28.11%</w:t>
            </w:r>
          </w:p>
        </w:tc>
        <w:tc>
          <w:tcPr>
            <w:tcW w:type="dxa" w:w="1039"/>
          </w:tcPr>
          <w:p>
            <w:pPr>
              <w:spacing w:line="240" w:lineRule="auto" w:before="20" w:after="20"/>
              <w:jc w:val="right"/>
            </w:pPr>
            <w:r/>
            <w:r>
              <w:rPr>
                <w:rFonts w:ascii="Times New Roman" w:hAnsi="Times New Roman" w:eastAsia="宋体"/>
                <w:b w:val="0"/>
                <w:color w:val="000000"/>
                <w:sz w:val="21"/>
              </w:rPr>
              <w:t>−15.68%</w:t>
            </w:r>
          </w:p>
        </w:tc>
        <w:tc>
          <w:tcPr>
            <w:tcW w:type="dxa" w:w="1039"/>
          </w:tcPr>
          <w:p>
            <w:pPr>
              <w:spacing w:line="240" w:lineRule="auto" w:before="20" w:after="20"/>
              <w:jc w:val="right"/>
            </w:pPr>
            <w:r/>
            <w:r>
              <w:rPr>
                <w:rFonts w:ascii="Times New Roman" w:hAnsi="Times New Roman" w:eastAsia="宋体"/>
                <w:b w:val="0"/>
                <w:color w:val="000000"/>
                <w:sz w:val="21"/>
              </w:rPr>
              <w:t>38.3%</w:t>
            </w:r>
          </w:p>
        </w:tc>
        <w:tc>
          <w:tcPr>
            <w:tcW w:type="dxa" w:w="1039"/>
          </w:tcPr>
          <w:p>
            <w:pPr>
              <w:spacing w:line="240" w:lineRule="auto" w:before="20" w:after="20"/>
              <w:jc w:val="right"/>
            </w:pPr>
            <w:r/>
            <w:r>
              <w:rPr>
                <w:rFonts w:ascii="Times New Roman" w:hAnsi="Times New Roman" w:eastAsia="宋体"/>
                <w:b w:val="0"/>
                <w:color w:val="000000"/>
                <w:sz w:val="21"/>
              </w:rPr>
              <w:t>3.9%</w:t>
            </w:r>
          </w:p>
        </w:tc>
      </w:tr>
      <w:tr>
        <w:tc>
          <w:tcPr>
            <w:tcW w:type="dxa" w:w="1039"/>
          </w:tcPr>
          <w:p>
            <w:pPr>
              <w:spacing w:line="240" w:lineRule="auto" w:before="20" w:after="20"/>
              <w:jc w:val="left"/>
            </w:pPr>
            <w:r/>
            <w:r>
              <w:rPr>
                <w:rFonts w:ascii="Times New Roman" w:hAnsi="Times New Roman" w:eastAsia="宋体"/>
                <w:b w:val="0"/>
                <w:color w:val="000000"/>
                <w:sz w:val="21"/>
              </w:rPr>
              <w:t>最小尾部风险策略</w:t>
            </w:r>
          </w:p>
        </w:tc>
        <w:tc>
          <w:tcPr>
            <w:tcW w:type="dxa" w:w="1039"/>
          </w:tcPr>
          <w:p>
            <w:pPr>
              <w:spacing w:line="240" w:lineRule="auto" w:before="20" w:after="20"/>
              <w:jc w:val="right"/>
            </w:pPr>
            <w:r/>
            <w:r>
              <w:rPr>
                <w:rFonts w:ascii="Times New Roman" w:hAnsi="Times New Roman" w:eastAsia="宋体"/>
                <w:b w:val="0"/>
                <w:color w:val="000000"/>
                <w:sz w:val="21"/>
              </w:rPr>
              <w:t>+10.21%</w:t>
            </w:r>
          </w:p>
        </w:tc>
        <w:tc>
          <w:tcPr>
            <w:tcW w:type="dxa" w:w="1039"/>
          </w:tcPr>
          <w:p>
            <w:pPr>
              <w:spacing w:line="240" w:lineRule="auto" w:before="20" w:after="20"/>
              <w:jc w:val="right"/>
            </w:pPr>
            <w:r/>
            <w:r>
              <w:rPr>
                <w:rFonts w:ascii="Times New Roman" w:hAnsi="Times New Roman" w:eastAsia="宋体"/>
                <w:b w:val="0"/>
                <w:color w:val="000000"/>
                <w:sz w:val="21"/>
              </w:rPr>
              <w:t>+3.87%</w:t>
            </w:r>
          </w:p>
        </w:tc>
        <w:tc>
          <w:tcPr>
            <w:tcW w:type="dxa" w:w="1039"/>
          </w:tcPr>
          <w:p>
            <w:pPr>
              <w:spacing w:line="240" w:lineRule="auto" w:before="20" w:after="20"/>
              <w:jc w:val="right"/>
            </w:pPr>
            <w:r/>
            <w:r>
              <w:rPr>
                <w:rFonts w:ascii="Times New Roman" w:hAnsi="Times New Roman" w:eastAsia="宋体"/>
                <w:b w:val="0"/>
                <w:color w:val="000000"/>
                <w:sz w:val="21"/>
              </w:rPr>
              <w:t>−6.15%</w:t>
            </w:r>
          </w:p>
        </w:tc>
        <w:tc>
          <w:tcPr>
            <w:tcW w:type="dxa" w:w="1039"/>
          </w:tcPr>
          <w:p>
            <w:pPr>
              <w:spacing w:line="240" w:lineRule="auto" w:before="20" w:after="20"/>
              <w:jc w:val="right"/>
            </w:pPr>
            <w:r/>
            <w:r>
              <w:rPr>
                <w:rFonts w:ascii="Times New Roman" w:hAnsi="Times New Roman" w:eastAsia="宋体"/>
                <w:b w:val="0"/>
                <w:color w:val="000000"/>
                <w:sz w:val="21"/>
              </w:rPr>
              <w:t>−21.08%</w:t>
            </w:r>
          </w:p>
        </w:tc>
        <w:tc>
          <w:tcPr>
            <w:tcW w:type="dxa" w:w="1039"/>
          </w:tcPr>
          <w:p>
            <w:pPr>
              <w:spacing w:line="240" w:lineRule="auto" w:before="20" w:after="20"/>
              <w:jc w:val="right"/>
            </w:pPr>
            <w:r/>
            <w:r>
              <w:rPr>
                <w:rFonts w:ascii="Times New Roman" w:hAnsi="Times New Roman" w:eastAsia="宋体"/>
                <w:b w:val="0"/>
                <w:color w:val="000000"/>
                <w:sz w:val="21"/>
              </w:rPr>
              <w:t>−11.65%</w:t>
            </w:r>
          </w:p>
        </w:tc>
        <w:tc>
          <w:tcPr>
            <w:tcW w:type="dxa" w:w="1039"/>
          </w:tcPr>
          <w:p>
            <w:pPr>
              <w:spacing w:line="240" w:lineRule="auto" w:before="20" w:after="20"/>
              <w:jc w:val="right"/>
            </w:pPr>
            <w:r/>
            <w:r>
              <w:rPr>
                <w:rFonts w:ascii="Times New Roman" w:hAnsi="Times New Roman" w:eastAsia="宋体"/>
                <w:b w:val="0"/>
                <w:color w:val="000000"/>
                <w:sz w:val="21"/>
              </w:rPr>
              <w:t>32.0%</w:t>
            </w:r>
          </w:p>
        </w:tc>
        <w:tc>
          <w:tcPr>
            <w:tcW w:type="dxa" w:w="1039"/>
          </w:tcPr>
          <w:p>
            <w:pPr>
              <w:spacing w:line="240" w:lineRule="auto" w:before="20" w:after="20"/>
              <w:jc w:val="right"/>
            </w:pPr>
            <w:r/>
            <w:r>
              <w:rPr>
                <w:rFonts w:ascii="Times New Roman" w:hAnsi="Times New Roman" w:eastAsia="宋体"/>
                <w:b w:val="0"/>
                <w:color w:val="000000"/>
                <w:sz w:val="21"/>
              </w:rPr>
              <w:t>3.9%</w:t>
            </w:r>
          </w:p>
        </w:tc>
      </w:tr>
      <w:tr>
        <w:tc>
          <w:tcPr>
            <w:tcW w:type="dxa" w:w="1039"/>
          </w:tcPr>
          <w:p>
            <w:pPr>
              <w:spacing w:line="240" w:lineRule="auto" w:before="20" w:after="20"/>
              <w:jc w:val="left"/>
            </w:pPr>
            <w:r/>
            <w:r>
              <w:rPr>
                <w:rFonts w:ascii="Times New Roman" w:hAnsi="Times New Roman" w:eastAsia="宋体"/>
                <w:b w:val="0"/>
                <w:color w:val="000000"/>
                <w:sz w:val="21"/>
              </w:rPr>
              <w:t>风险平衡策略</w:t>
            </w:r>
          </w:p>
        </w:tc>
        <w:tc>
          <w:tcPr>
            <w:tcW w:type="dxa" w:w="1039"/>
          </w:tcPr>
          <w:p>
            <w:pPr>
              <w:spacing w:line="240" w:lineRule="auto" w:before="20" w:after="20"/>
              <w:jc w:val="right"/>
            </w:pPr>
            <w:r/>
            <w:r>
              <w:rPr>
                <w:rFonts w:ascii="Times New Roman" w:hAnsi="Times New Roman" w:eastAsia="宋体"/>
                <w:b w:val="0"/>
                <w:color w:val="000000"/>
                <w:sz w:val="21"/>
              </w:rPr>
              <w:t>+9.99%</w:t>
            </w:r>
          </w:p>
        </w:tc>
        <w:tc>
          <w:tcPr>
            <w:tcW w:type="dxa" w:w="1039"/>
          </w:tcPr>
          <w:p>
            <w:pPr>
              <w:spacing w:line="240" w:lineRule="auto" w:before="20" w:after="20"/>
              <w:jc w:val="right"/>
            </w:pPr>
            <w:r/>
            <w:r>
              <w:rPr>
                <w:rFonts w:ascii="Times New Roman" w:hAnsi="Times New Roman" w:eastAsia="宋体"/>
                <w:b w:val="0"/>
                <w:color w:val="000000"/>
                <w:sz w:val="21"/>
              </w:rPr>
              <w:t>+3.92%</w:t>
            </w:r>
          </w:p>
        </w:tc>
        <w:tc>
          <w:tcPr>
            <w:tcW w:type="dxa" w:w="1039"/>
          </w:tcPr>
          <w:p>
            <w:pPr>
              <w:spacing w:line="240" w:lineRule="auto" w:before="20" w:after="20"/>
              <w:jc w:val="right"/>
            </w:pPr>
            <w:r/>
            <w:r>
              <w:rPr>
                <w:rFonts w:ascii="Times New Roman" w:hAnsi="Times New Roman" w:eastAsia="宋体"/>
                <w:b w:val="0"/>
                <w:color w:val="000000"/>
                <w:sz w:val="21"/>
              </w:rPr>
              <w:t>−7.74%</w:t>
            </w:r>
          </w:p>
        </w:tc>
        <w:tc>
          <w:tcPr>
            <w:tcW w:type="dxa" w:w="1039"/>
          </w:tcPr>
          <w:p>
            <w:pPr>
              <w:spacing w:line="240" w:lineRule="auto" w:before="20" w:after="20"/>
              <w:jc w:val="right"/>
            </w:pPr>
            <w:r/>
            <w:r>
              <w:rPr>
                <w:rFonts w:ascii="Times New Roman" w:hAnsi="Times New Roman" w:eastAsia="宋体"/>
                <w:b w:val="0"/>
                <w:color w:val="000000"/>
                <w:sz w:val="21"/>
              </w:rPr>
              <w:t>−33.18%</w:t>
            </w:r>
          </w:p>
        </w:tc>
        <w:tc>
          <w:tcPr>
            <w:tcW w:type="dxa" w:w="1039"/>
          </w:tcPr>
          <w:p>
            <w:pPr>
              <w:spacing w:line="240" w:lineRule="auto" w:before="20" w:after="20"/>
              <w:jc w:val="right"/>
            </w:pPr>
            <w:r/>
            <w:r>
              <w:rPr>
                <w:rFonts w:ascii="Times New Roman" w:hAnsi="Times New Roman" w:eastAsia="宋体"/>
                <w:b w:val="0"/>
                <w:color w:val="000000"/>
                <w:sz w:val="21"/>
              </w:rPr>
              <w:t>−14.65%</w:t>
            </w:r>
          </w:p>
        </w:tc>
        <w:tc>
          <w:tcPr>
            <w:tcW w:type="dxa" w:w="1039"/>
          </w:tcPr>
          <w:p>
            <w:pPr>
              <w:spacing w:line="240" w:lineRule="auto" w:before="20" w:after="20"/>
              <w:jc w:val="right"/>
            </w:pPr>
            <w:r/>
            <w:r>
              <w:rPr>
                <w:rFonts w:ascii="Times New Roman" w:hAnsi="Times New Roman" w:eastAsia="宋体"/>
                <w:b w:val="0"/>
                <w:color w:val="000000"/>
                <w:sz w:val="21"/>
              </w:rPr>
              <w:t>36.7%</w:t>
            </w:r>
          </w:p>
        </w:tc>
        <w:tc>
          <w:tcPr>
            <w:tcW w:type="dxa" w:w="1039"/>
          </w:tcPr>
          <w:p>
            <w:pPr>
              <w:spacing w:line="240" w:lineRule="auto" w:before="20" w:after="20"/>
              <w:jc w:val="right"/>
            </w:pPr>
            <w:r/>
            <w:r>
              <w:rPr>
                <w:rFonts w:ascii="Times New Roman" w:hAnsi="Times New Roman" w:eastAsia="宋体"/>
                <w:b w:val="0"/>
                <w:color w:val="000000"/>
                <w:sz w:val="21"/>
              </w:rPr>
              <w:t>0.0%</w:t>
            </w:r>
          </w:p>
        </w:tc>
      </w:tr>
      <w:tr>
        <w:tc>
          <w:tcPr>
            <w:tcW w:type="dxa" w:w="1039"/>
          </w:tcPr>
          <w:p>
            <w:pPr>
              <w:spacing w:line="240" w:lineRule="auto" w:before="20" w:after="20"/>
              <w:jc w:val="left"/>
            </w:pPr>
            <w:r/>
            <w:r>
              <w:rPr>
                <w:rFonts w:ascii="Times New Roman" w:hAnsi="Times New Roman" w:eastAsia="宋体"/>
                <w:b w:val="0"/>
                <w:color w:val="000000"/>
                <w:sz w:val="21"/>
              </w:rPr>
              <w:t>季节策略</w:t>
            </w:r>
          </w:p>
        </w:tc>
        <w:tc>
          <w:tcPr>
            <w:tcW w:type="dxa" w:w="1039"/>
          </w:tcPr>
          <w:p>
            <w:pPr>
              <w:spacing w:line="240" w:lineRule="auto" w:before="20" w:after="20"/>
              <w:jc w:val="right"/>
            </w:pPr>
            <w:r/>
            <w:r>
              <w:rPr>
                <w:rFonts w:ascii="Times New Roman" w:hAnsi="Times New Roman" w:eastAsia="宋体"/>
                <w:b w:val="0"/>
                <w:color w:val="000000"/>
                <w:sz w:val="21"/>
              </w:rPr>
              <w:t>+7.82%</w:t>
            </w:r>
          </w:p>
        </w:tc>
        <w:tc>
          <w:tcPr>
            <w:tcW w:type="dxa" w:w="1039"/>
          </w:tcPr>
          <w:p>
            <w:pPr>
              <w:spacing w:line="240" w:lineRule="auto" w:before="20" w:after="20"/>
              <w:jc w:val="right"/>
            </w:pPr>
            <w:r/>
            <w:r>
              <w:rPr>
                <w:rFonts w:ascii="Times New Roman" w:hAnsi="Times New Roman" w:eastAsia="宋体"/>
                <w:b w:val="0"/>
                <w:color w:val="000000"/>
                <w:sz w:val="21"/>
              </w:rPr>
              <w:t>+3.01%</w:t>
            </w:r>
          </w:p>
        </w:tc>
        <w:tc>
          <w:tcPr>
            <w:tcW w:type="dxa" w:w="1039"/>
          </w:tcPr>
          <w:p>
            <w:pPr>
              <w:spacing w:line="240" w:lineRule="auto" w:before="20" w:after="20"/>
              <w:jc w:val="right"/>
            </w:pPr>
            <w:r/>
            <w:r>
              <w:rPr>
                <w:rFonts w:ascii="Times New Roman" w:hAnsi="Times New Roman" w:eastAsia="宋体"/>
                <w:b w:val="0"/>
                <w:color w:val="000000"/>
                <w:sz w:val="21"/>
              </w:rPr>
              <w:t>−9.46%</w:t>
            </w:r>
          </w:p>
        </w:tc>
        <w:tc>
          <w:tcPr>
            <w:tcW w:type="dxa" w:w="1039"/>
          </w:tcPr>
          <w:p>
            <w:pPr>
              <w:spacing w:line="240" w:lineRule="auto" w:before="20" w:after="20"/>
              <w:jc w:val="right"/>
            </w:pPr>
            <w:r/>
            <w:r>
              <w:rPr>
                <w:rFonts w:ascii="Times New Roman" w:hAnsi="Times New Roman" w:eastAsia="宋体"/>
                <w:b w:val="0"/>
                <w:color w:val="000000"/>
                <w:sz w:val="21"/>
              </w:rPr>
              <w:t>−39.93%</w:t>
            </w:r>
          </w:p>
        </w:tc>
        <w:tc>
          <w:tcPr>
            <w:tcW w:type="dxa" w:w="1039"/>
          </w:tcPr>
          <w:p>
            <w:pPr>
              <w:spacing w:line="240" w:lineRule="auto" w:before="20" w:after="20"/>
              <w:jc w:val="right"/>
            </w:pPr>
            <w:r/>
            <w:r>
              <w:rPr>
                <w:rFonts w:ascii="Times New Roman" w:hAnsi="Times New Roman" w:eastAsia="宋体"/>
                <w:b w:val="0"/>
                <w:color w:val="000000"/>
                <w:sz w:val="21"/>
              </w:rPr>
              <w:t>−17.60%</w:t>
            </w:r>
          </w:p>
        </w:tc>
        <w:tc>
          <w:tcPr>
            <w:tcW w:type="dxa" w:w="1039"/>
          </w:tcPr>
          <w:p>
            <w:pPr>
              <w:spacing w:line="240" w:lineRule="auto" w:before="20" w:after="20"/>
              <w:jc w:val="right"/>
            </w:pPr>
            <w:r/>
            <w:r>
              <w:rPr>
                <w:rFonts w:ascii="Times New Roman" w:hAnsi="Times New Roman" w:eastAsia="宋体"/>
                <w:b w:val="0"/>
                <w:color w:val="000000"/>
                <w:sz w:val="21"/>
              </w:rPr>
              <w:t>39.1%</w:t>
            </w:r>
          </w:p>
        </w:tc>
        <w:tc>
          <w:tcPr>
            <w:tcW w:type="dxa" w:w="1039"/>
          </w:tcPr>
          <w:p>
            <w:pPr>
              <w:spacing w:line="240" w:lineRule="auto" w:before="20" w:after="20"/>
              <w:jc w:val="right"/>
            </w:pPr>
            <w:r/>
            <w:r>
              <w:rPr>
                <w:rFonts w:ascii="Times New Roman" w:hAnsi="Times New Roman" w:eastAsia="宋体"/>
                <w:b w:val="0"/>
                <w:color w:val="000000"/>
                <w:sz w:val="21"/>
              </w:rPr>
              <w:t>9.4%</w:t>
            </w:r>
          </w:p>
        </w:tc>
      </w:tr>
      <w:tr>
        <w:tc>
          <w:tcPr>
            <w:tcW w:type="dxa" w:w="1039"/>
          </w:tcPr>
          <w:p>
            <w:pPr>
              <w:spacing w:line="240" w:lineRule="auto" w:before="20" w:after="20"/>
              <w:jc w:val="left"/>
            </w:pPr>
            <w:r/>
            <w:r>
              <w:rPr>
                <w:rFonts w:ascii="Times New Roman" w:hAnsi="Times New Roman" w:eastAsia="宋体"/>
                <w:b w:val="0"/>
                <w:color w:val="000000"/>
                <w:sz w:val="21"/>
              </w:rPr>
              <w:t>低风险策略</w:t>
            </w:r>
          </w:p>
        </w:tc>
        <w:tc>
          <w:tcPr>
            <w:tcW w:type="dxa" w:w="1039"/>
          </w:tcPr>
          <w:p>
            <w:pPr>
              <w:spacing w:line="240" w:lineRule="auto" w:before="20" w:after="20"/>
              <w:jc w:val="right"/>
            </w:pPr>
            <w:r/>
            <w:r>
              <w:rPr>
                <w:rFonts w:ascii="Times New Roman" w:hAnsi="Times New Roman" w:eastAsia="宋体"/>
                <w:b w:val="0"/>
                <w:color w:val="000000"/>
                <w:sz w:val="21"/>
              </w:rPr>
              <w:t>+3.85%</w:t>
            </w:r>
          </w:p>
        </w:tc>
        <w:tc>
          <w:tcPr>
            <w:tcW w:type="dxa" w:w="1039"/>
          </w:tcPr>
          <w:p>
            <w:pPr>
              <w:spacing w:line="240" w:lineRule="auto" w:before="20" w:after="20"/>
              <w:jc w:val="right"/>
            </w:pPr>
            <w:r/>
            <w:r>
              <w:rPr>
                <w:rFonts w:ascii="Times New Roman" w:hAnsi="Times New Roman" w:eastAsia="宋体"/>
                <w:b w:val="0"/>
                <w:color w:val="000000"/>
                <w:sz w:val="21"/>
              </w:rPr>
              <w:t>+1.47%</w:t>
            </w:r>
          </w:p>
        </w:tc>
        <w:tc>
          <w:tcPr>
            <w:tcW w:type="dxa" w:w="1039"/>
          </w:tcPr>
          <w:p>
            <w:pPr>
              <w:spacing w:line="240" w:lineRule="auto" w:before="20" w:after="20"/>
              <w:jc w:val="right"/>
            </w:pPr>
            <w:r/>
            <w:r>
              <w:rPr>
                <w:rFonts w:ascii="Times New Roman" w:hAnsi="Times New Roman" w:eastAsia="宋体"/>
                <w:b w:val="0"/>
                <w:color w:val="000000"/>
                <w:sz w:val="21"/>
              </w:rPr>
              <w:t>−9.08%</w:t>
            </w:r>
          </w:p>
        </w:tc>
        <w:tc>
          <w:tcPr>
            <w:tcW w:type="dxa" w:w="1039"/>
          </w:tcPr>
          <w:p>
            <w:pPr>
              <w:spacing w:line="240" w:lineRule="auto" w:before="20" w:after="20"/>
              <w:jc w:val="right"/>
            </w:pPr>
            <w:r/>
            <w:r>
              <w:rPr>
                <w:rFonts w:ascii="Times New Roman" w:hAnsi="Times New Roman" w:eastAsia="宋体"/>
                <w:b w:val="0"/>
                <w:color w:val="000000"/>
                <w:sz w:val="21"/>
              </w:rPr>
              <w:t>−33.18%</w:t>
            </w:r>
          </w:p>
        </w:tc>
        <w:tc>
          <w:tcPr>
            <w:tcW w:type="dxa" w:w="1039"/>
          </w:tcPr>
          <w:p>
            <w:pPr>
              <w:spacing w:line="240" w:lineRule="auto" w:before="20" w:after="20"/>
              <w:jc w:val="right"/>
            </w:pPr>
            <w:r/>
            <w:r>
              <w:rPr>
                <w:rFonts w:ascii="Times New Roman" w:hAnsi="Times New Roman" w:eastAsia="宋体"/>
                <w:b w:val="0"/>
                <w:color w:val="000000"/>
                <w:sz w:val="21"/>
              </w:rPr>
              <w:t>−18.21%</w:t>
            </w:r>
          </w:p>
        </w:tc>
        <w:tc>
          <w:tcPr>
            <w:tcW w:type="dxa" w:w="1039"/>
          </w:tcPr>
          <w:p>
            <w:pPr>
              <w:spacing w:line="240" w:lineRule="auto" w:before="20" w:after="20"/>
              <w:jc w:val="right"/>
            </w:pPr>
            <w:r/>
            <w:r>
              <w:rPr>
                <w:rFonts w:ascii="Times New Roman" w:hAnsi="Times New Roman" w:eastAsia="宋体"/>
                <w:b w:val="0"/>
                <w:color w:val="000000"/>
                <w:sz w:val="21"/>
              </w:rPr>
              <w:t>43.8%</w:t>
            </w:r>
          </w:p>
        </w:tc>
        <w:tc>
          <w:tcPr>
            <w:tcW w:type="dxa" w:w="1039"/>
          </w:tcPr>
          <w:p>
            <w:pPr>
              <w:spacing w:line="240" w:lineRule="auto" w:before="20" w:after="20"/>
              <w:jc w:val="right"/>
            </w:pPr>
            <w:r/>
            <w:r>
              <w:rPr>
                <w:rFonts w:ascii="Times New Roman" w:hAnsi="Times New Roman" w:eastAsia="宋体"/>
                <w:b w:val="0"/>
                <w:color w:val="000000"/>
                <w:sz w:val="21"/>
              </w:rPr>
              <w:t>0.0%</w:t>
            </w:r>
          </w:p>
        </w:tc>
      </w:tr>
      <w:tr>
        <w:tc>
          <w:tcPr>
            <w:tcW w:type="dxa" w:w="1039"/>
          </w:tcPr>
          <w:p>
            <w:pPr>
              <w:spacing w:line="240" w:lineRule="auto" w:before="20" w:after="20"/>
              <w:jc w:val="left"/>
            </w:pPr>
            <w:r/>
            <w:r>
              <w:rPr>
                <w:rFonts w:ascii="Times New Roman" w:hAnsi="Times New Roman" w:eastAsia="宋体"/>
                <w:b w:val="0"/>
                <w:color w:val="000000"/>
                <w:sz w:val="21"/>
              </w:rPr>
              <w:t>随机（期望）</w:t>
            </w:r>
          </w:p>
        </w:tc>
        <w:tc>
          <w:tcPr>
            <w:tcW w:type="dxa" w:w="1039"/>
          </w:tcPr>
          <w:p>
            <w:pPr>
              <w:spacing w:line="240" w:lineRule="auto" w:before="20" w:after="20"/>
              <w:jc w:val="right"/>
            </w:pPr>
            <w:r/>
            <w:r>
              <w:rPr>
                <w:rFonts w:ascii="Times New Roman" w:hAnsi="Times New Roman" w:eastAsia="宋体"/>
                <w:b w:val="0"/>
                <w:color w:val="000000"/>
                <w:sz w:val="21"/>
              </w:rPr>
              <w:t>+1.11%</w:t>
            </w:r>
          </w:p>
        </w:tc>
        <w:tc>
          <w:tcPr>
            <w:tcW w:type="dxa" w:w="1039"/>
          </w:tcPr>
          <w:p>
            <w:pPr>
              <w:spacing w:line="240" w:lineRule="auto" w:before="20" w:after="20"/>
              <w:jc w:val="right"/>
            </w:pPr>
            <w:r/>
            <w:r>
              <w:rPr>
                <w:rFonts w:ascii="Times New Roman" w:hAnsi="Times New Roman" w:eastAsia="宋体"/>
                <w:b w:val="0"/>
                <w:color w:val="000000"/>
                <w:sz w:val="21"/>
              </w:rPr>
              <w:t>−0.30%</w:t>
            </w:r>
          </w:p>
        </w:tc>
        <w:tc>
          <w:tcPr>
            <w:tcW w:type="dxa" w:w="1039"/>
          </w:tcPr>
          <w:p>
            <w:pPr>
              <w:spacing w:line="240" w:lineRule="auto" w:before="20" w:after="20"/>
              <w:jc w:val="right"/>
            </w:pPr>
            <w:r/>
            <w:r>
              <w:rPr>
                <w:rFonts w:ascii="Times New Roman" w:hAnsi="Times New Roman" w:eastAsia="宋体"/>
                <w:b w:val="0"/>
                <w:color w:val="000000"/>
                <w:sz w:val="21"/>
              </w:rPr>
              <w:t>−7.84%</w:t>
            </w:r>
          </w:p>
        </w:tc>
        <w:tc>
          <w:tcPr>
            <w:tcW w:type="dxa" w:w="1039"/>
          </w:tcPr>
          <w:p>
            <w:pPr>
              <w:spacing w:line="240" w:lineRule="auto" w:before="20" w:after="20"/>
              <w:jc w:val="right"/>
            </w:pPr>
            <w:r/>
            <w:r>
              <w:rPr>
                <w:rFonts w:ascii="Times New Roman" w:hAnsi="Times New Roman" w:eastAsia="宋体"/>
                <w:b w:val="0"/>
                <w:color w:val="000000"/>
                <w:sz w:val="21"/>
              </w:rPr>
              <w:t>−22.92%</w:t>
            </w:r>
          </w:p>
        </w:tc>
        <w:tc>
          <w:tcPr>
            <w:tcW w:type="dxa" w:w="1039"/>
          </w:tcPr>
          <w:p>
            <w:pPr>
              <w:spacing w:line="240" w:lineRule="auto" w:before="20" w:after="20"/>
              <w:jc w:val="right"/>
            </w:pPr>
            <w:r/>
            <w:r>
              <w:rPr>
                <w:rFonts w:ascii="Times New Roman" w:hAnsi="Times New Roman" w:eastAsia="宋体"/>
                <w:b w:val="0"/>
                <w:color w:val="000000"/>
                <w:sz w:val="21"/>
              </w:rPr>
              <w:t>−14.08%</w:t>
            </w:r>
          </w:p>
        </w:tc>
        <w:tc>
          <w:tcPr>
            <w:tcW w:type="dxa" w:w="1039"/>
          </w:tcPr>
          <w:p>
            <w:pPr>
              <w:spacing w:line="240" w:lineRule="auto" w:before="20" w:after="20"/>
              <w:jc w:val="right"/>
            </w:pPr>
            <w:r/>
            <w:r>
              <w:rPr>
                <w:rFonts w:ascii="Times New Roman" w:hAnsi="Times New Roman" w:eastAsia="宋体"/>
                <w:b w:val="0"/>
                <w:color w:val="000000"/>
                <w:sz w:val="21"/>
              </w:rPr>
              <w:t>51.6%</w:t>
            </w:r>
          </w:p>
        </w:tc>
        <w:tc>
          <w:tcPr>
            <w:tcW w:type="dxa" w:w="1039"/>
          </w:tcPr>
          <w:p>
            <w:pPr>
              <w:spacing w:line="240" w:lineRule="auto" w:before="20" w:after="20"/>
              <w:jc w:val="right"/>
            </w:pPr>
            <w:r/>
            <w:r>
              <w:rPr>
                <w:rFonts w:ascii="Times New Roman" w:hAnsi="Times New Roman" w:eastAsia="宋体"/>
                <w:b w:val="0"/>
                <w:color w:val="000000"/>
                <w:sz w:val="21"/>
              </w:rPr>
              <w:t>—</w:t>
            </w:r>
          </w:p>
        </w:tc>
      </w:tr>
      <w:tr>
        <w:tc>
          <w:tcPr>
            <w:tcW w:type="dxa" w:w="1039"/>
          </w:tcPr>
          <w:p>
            <w:pPr>
              <w:spacing w:line="240" w:lineRule="auto" w:before="20" w:after="20"/>
              <w:jc w:val="left"/>
            </w:pPr>
            <w:r/>
            <w:r>
              <w:rPr>
                <w:rFonts w:ascii="Times New Roman" w:hAnsi="Times New Roman" w:eastAsia="宋体"/>
                <w:b w:val="0"/>
                <w:color w:val="000000"/>
                <w:sz w:val="21"/>
              </w:rPr>
              <w:t>追涨策略</w:t>
            </w:r>
          </w:p>
        </w:tc>
        <w:tc>
          <w:tcPr>
            <w:tcW w:type="dxa" w:w="1039"/>
          </w:tcPr>
          <w:p>
            <w:pPr>
              <w:spacing w:line="240" w:lineRule="auto" w:before="20" w:after="20"/>
              <w:jc w:val="right"/>
            </w:pPr>
            <w:r/>
            <w:r>
              <w:rPr>
                <w:rFonts w:ascii="Times New Roman" w:hAnsi="Times New Roman" w:eastAsia="宋体"/>
                <w:b w:val="0"/>
                <w:color w:val="000000"/>
                <w:sz w:val="21"/>
              </w:rPr>
              <w:t>−0.36%</w:t>
            </w:r>
          </w:p>
        </w:tc>
        <w:tc>
          <w:tcPr>
            <w:tcW w:type="dxa" w:w="1039"/>
          </w:tcPr>
          <w:p>
            <w:pPr>
              <w:spacing w:line="240" w:lineRule="auto" w:before="20" w:after="20"/>
              <w:jc w:val="right"/>
            </w:pPr>
            <w:r/>
            <w:r>
              <w:rPr>
                <w:rFonts w:ascii="Times New Roman" w:hAnsi="Times New Roman" w:eastAsia="宋体"/>
                <w:b w:val="0"/>
                <w:color w:val="000000"/>
                <w:sz w:val="21"/>
              </w:rPr>
              <w:t>−3.25%</w:t>
            </w:r>
          </w:p>
        </w:tc>
        <w:tc>
          <w:tcPr>
            <w:tcW w:type="dxa" w:w="1039"/>
          </w:tcPr>
          <w:p>
            <w:pPr>
              <w:spacing w:line="240" w:lineRule="auto" w:before="20" w:after="20"/>
              <w:jc w:val="right"/>
            </w:pPr>
            <w:r/>
            <w:r>
              <w:rPr>
                <w:rFonts w:ascii="Times New Roman" w:hAnsi="Times New Roman" w:eastAsia="宋体"/>
                <w:b w:val="0"/>
                <w:color w:val="000000"/>
                <w:sz w:val="21"/>
              </w:rPr>
              <w:t>−12.85%</w:t>
            </w:r>
          </w:p>
        </w:tc>
        <w:tc>
          <w:tcPr>
            <w:tcW w:type="dxa" w:w="1039"/>
          </w:tcPr>
          <w:p>
            <w:pPr>
              <w:spacing w:line="240" w:lineRule="auto" w:before="20" w:after="20"/>
              <w:jc w:val="right"/>
            </w:pPr>
            <w:r/>
            <w:r>
              <w:rPr>
                <w:rFonts w:ascii="Times New Roman" w:hAnsi="Times New Roman" w:eastAsia="宋体"/>
                <w:b w:val="0"/>
                <w:color w:val="000000"/>
                <w:sz w:val="21"/>
              </w:rPr>
              <w:t>−41.75%</w:t>
            </w:r>
          </w:p>
        </w:tc>
        <w:tc>
          <w:tcPr>
            <w:tcW w:type="dxa" w:w="1039"/>
          </w:tcPr>
          <w:p>
            <w:pPr>
              <w:spacing w:line="240" w:lineRule="auto" w:before="20" w:after="20"/>
              <w:jc w:val="right"/>
            </w:pPr>
            <w:r/>
            <w:r>
              <w:rPr>
                <w:rFonts w:ascii="Times New Roman" w:hAnsi="Times New Roman" w:eastAsia="宋体"/>
                <w:b w:val="0"/>
                <w:color w:val="000000"/>
                <w:sz w:val="21"/>
              </w:rPr>
              <w:t>−26.16%</w:t>
            </w:r>
          </w:p>
        </w:tc>
        <w:tc>
          <w:tcPr>
            <w:tcW w:type="dxa" w:w="1039"/>
          </w:tcPr>
          <w:p>
            <w:pPr>
              <w:spacing w:line="240" w:lineRule="auto" w:before="20" w:after="20"/>
              <w:jc w:val="right"/>
            </w:pPr>
            <w:r/>
            <w:r>
              <w:rPr>
                <w:rFonts w:ascii="Times New Roman" w:hAnsi="Times New Roman" w:eastAsia="宋体"/>
                <w:b w:val="0"/>
                <w:color w:val="000000"/>
                <w:sz w:val="21"/>
              </w:rPr>
              <w:t>57.0%</w:t>
            </w:r>
          </w:p>
        </w:tc>
        <w:tc>
          <w:tcPr>
            <w:tcW w:type="dxa" w:w="1039"/>
          </w:tcPr>
          <w:p>
            <w:pPr>
              <w:spacing w:line="240" w:lineRule="auto" w:before="20" w:after="20"/>
              <w:jc w:val="right"/>
            </w:pPr>
            <w:r/>
            <w:r>
              <w:rPr>
                <w:rFonts w:ascii="Times New Roman" w:hAnsi="Times New Roman" w:eastAsia="宋体"/>
                <w:b w:val="0"/>
                <w:color w:val="000000"/>
                <w:sz w:val="21"/>
              </w:rPr>
              <w:t>53.1%</w:t>
            </w:r>
          </w:p>
        </w:tc>
      </w:tr>
      <w:tr>
        <w:tc>
          <w:tcPr>
            <w:tcW w:type="dxa" w:w="1039"/>
          </w:tcPr>
          <w:p>
            <w:pPr>
              <w:spacing w:line="240" w:lineRule="auto" w:before="20" w:after="20"/>
              <w:jc w:val="left"/>
            </w:pPr>
            <w:r/>
            <w:r>
              <w:rPr>
                <w:rFonts w:ascii="Times New Roman" w:hAnsi="Times New Roman" w:eastAsia="宋体"/>
                <w:b w:val="0"/>
                <w:color w:val="000000"/>
                <w:sz w:val="21"/>
              </w:rPr>
              <w:t>最高价策略</w:t>
            </w:r>
          </w:p>
        </w:tc>
        <w:tc>
          <w:tcPr>
            <w:tcW w:type="dxa" w:w="1039"/>
          </w:tcPr>
          <w:p>
            <w:pPr>
              <w:spacing w:line="240" w:lineRule="auto" w:before="20" w:after="20"/>
              <w:jc w:val="right"/>
            </w:pPr>
            <w:r/>
            <w:r>
              <w:rPr>
                <w:rFonts w:ascii="Times New Roman" w:hAnsi="Times New Roman" w:eastAsia="宋体"/>
                <w:b w:val="0"/>
                <w:color w:val="000000"/>
                <w:sz w:val="21"/>
              </w:rPr>
              <w:t>−2.17%</w:t>
            </w:r>
          </w:p>
        </w:tc>
        <w:tc>
          <w:tcPr>
            <w:tcW w:type="dxa" w:w="1039"/>
          </w:tcPr>
          <w:p>
            <w:pPr>
              <w:spacing w:line="240" w:lineRule="auto" w:before="20" w:after="20"/>
              <w:jc w:val="right"/>
            </w:pPr>
            <w:r/>
            <w:r>
              <w:rPr>
                <w:rFonts w:ascii="Times New Roman" w:hAnsi="Times New Roman" w:eastAsia="宋体"/>
                <w:b w:val="0"/>
                <w:color w:val="000000"/>
                <w:sz w:val="21"/>
              </w:rPr>
              <w:t>−3.95%</w:t>
            </w:r>
          </w:p>
        </w:tc>
        <w:tc>
          <w:tcPr>
            <w:tcW w:type="dxa" w:w="1039"/>
          </w:tcPr>
          <w:p>
            <w:pPr>
              <w:spacing w:line="240" w:lineRule="auto" w:before="20" w:after="20"/>
              <w:jc w:val="right"/>
            </w:pPr>
            <w:r/>
            <w:r>
              <w:rPr>
                <w:rFonts w:ascii="Times New Roman" w:hAnsi="Times New Roman" w:eastAsia="宋体"/>
                <w:b w:val="0"/>
                <w:color w:val="000000"/>
                <w:sz w:val="21"/>
              </w:rPr>
              <w:t>−11.98%</w:t>
            </w:r>
          </w:p>
        </w:tc>
        <w:tc>
          <w:tcPr>
            <w:tcW w:type="dxa" w:w="1039"/>
          </w:tcPr>
          <w:p>
            <w:pPr>
              <w:spacing w:line="240" w:lineRule="auto" w:before="20" w:after="20"/>
              <w:jc w:val="right"/>
            </w:pPr>
            <w:r/>
            <w:r>
              <w:rPr>
                <w:rFonts w:ascii="Times New Roman" w:hAnsi="Times New Roman" w:eastAsia="宋体"/>
                <w:b w:val="0"/>
                <w:color w:val="000000"/>
                <w:sz w:val="21"/>
              </w:rPr>
              <w:t>−39.93%</w:t>
            </w:r>
          </w:p>
        </w:tc>
        <w:tc>
          <w:tcPr>
            <w:tcW w:type="dxa" w:w="1039"/>
          </w:tcPr>
          <w:p>
            <w:pPr>
              <w:spacing w:line="240" w:lineRule="auto" w:before="20" w:after="20"/>
              <w:jc w:val="right"/>
            </w:pPr>
            <w:r/>
            <w:r>
              <w:rPr>
                <w:rFonts w:ascii="Times New Roman" w:hAnsi="Times New Roman" w:eastAsia="宋体"/>
                <w:b w:val="0"/>
                <w:color w:val="000000"/>
                <w:sz w:val="21"/>
              </w:rPr>
              <w:t>−24.15%</w:t>
            </w:r>
          </w:p>
        </w:tc>
        <w:tc>
          <w:tcPr>
            <w:tcW w:type="dxa" w:w="1039"/>
          </w:tcPr>
          <w:p>
            <w:pPr>
              <w:spacing w:line="240" w:lineRule="auto" w:before="20" w:after="20"/>
              <w:jc w:val="right"/>
            </w:pPr>
            <w:r/>
            <w:r>
              <w:rPr>
                <w:rFonts w:ascii="Times New Roman" w:hAnsi="Times New Roman" w:eastAsia="宋体"/>
                <w:b w:val="0"/>
                <w:color w:val="000000"/>
                <w:sz w:val="21"/>
              </w:rPr>
              <w:t>60.2%</w:t>
            </w:r>
          </w:p>
        </w:tc>
        <w:tc>
          <w:tcPr>
            <w:tcW w:type="dxa" w:w="1039"/>
          </w:tcPr>
          <w:p>
            <w:pPr>
              <w:spacing w:line="240" w:lineRule="auto" w:before="20" w:after="20"/>
              <w:jc w:val="right"/>
            </w:pPr>
            <w:r/>
            <w:r>
              <w:rPr>
                <w:rFonts w:ascii="Times New Roman" w:hAnsi="Times New Roman" w:eastAsia="宋体"/>
                <w:b w:val="0"/>
                <w:color w:val="000000"/>
                <w:sz w:val="21"/>
              </w:rPr>
              <w:t>21.1%</w:t>
            </w:r>
          </w:p>
        </w:tc>
      </w:tr>
    </w:tbl>
    <w:p>
      <w:pPr>
        <w:spacing w:before="0"/>
      </w:pP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策略水平与风险指标（30 天步长，31 个切点）</w:t>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rPr>
          <w:tblHeader w:val="true"/>
        </w:trPr>
        <w:tc>
          <w:tcPr>
            <w:tcW w:type="dxa" w:w="1039"/>
          </w:tcPr>
          <w:p>
            <w:pPr>
              <w:spacing w:line="240" w:lineRule="auto" w:before="20" w:after="20"/>
              <w:jc w:val="center"/>
            </w:pPr>
            <w:r/>
            <w:r>
              <w:rPr>
                <w:rFonts w:ascii="Times New Roman" w:hAnsi="Times New Roman" w:eastAsia="宋体"/>
                <w:b/>
                <w:color w:val="000000"/>
                <w:sz w:val="21"/>
              </w:rPr>
              <w:t>策略</w:t>
            </w:r>
          </w:p>
        </w:tc>
        <w:tc>
          <w:tcPr>
            <w:tcW w:type="dxa" w:w="1039"/>
          </w:tcPr>
          <w:p>
            <w:pPr>
              <w:spacing w:line="240" w:lineRule="auto" w:before="20" w:after="20"/>
              <w:jc w:val="center"/>
            </w:pPr>
            <w:r/>
            <w:r>
              <w:rPr>
                <w:rFonts w:ascii="Times New Roman" w:hAnsi="Times New Roman" w:eastAsia="宋体"/>
                <w:b/>
                <w:color w:val="000000"/>
                <w:sz w:val="21"/>
              </w:rPr>
              <w:t>均值</w:t>
            </w:r>
          </w:p>
        </w:tc>
        <w:tc>
          <w:tcPr>
            <w:tcW w:type="dxa" w:w="1039"/>
          </w:tcPr>
          <w:p>
            <w:pPr>
              <w:spacing w:line="240" w:lineRule="auto" w:before="20" w:after="20"/>
              <w:jc w:val="center"/>
            </w:pPr>
            <w:r/>
            <w:r>
              <w:rPr>
                <w:rFonts w:ascii="Times New Roman" w:hAnsi="Times New Roman" w:eastAsia="宋体"/>
                <w:b/>
                <w:color w:val="000000"/>
                <w:sz w:val="21"/>
              </w:rPr>
              <w:t>中位</w:t>
            </w:r>
          </w:p>
        </w:tc>
        <w:tc>
          <w:tcPr>
            <w:tcW w:type="dxa" w:w="1039"/>
          </w:tcPr>
          <w:p>
            <w:pPr>
              <w:spacing w:line="240" w:lineRule="auto" w:before="20" w:after="20"/>
              <w:jc w:val="center"/>
            </w:pPr>
            <w:r/>
            <w:r>
              <w:rPr>
                <w:rFonts w:ascii="Times New Roman" w:hAnsi="Times New Roman" w:eastAsia="宋体"/>
                <w:b/>
                <w:color w:val="000000"/>
                <w:sz w:val="21"/>
              </w:rPr>
              <w:t>下行均值</w:t>
            </w:r>
          </w:p>
        </w:tc>
        <w:tc>
          <w:tcPr>
            <w:tcW w:type="dxa" w:w="1039"/>
          </w:tcPr>
          <w:p>
            <w:pPr>
              <w:spacing w:line="240" w:lineRule="auto" w:before="20" w:after="20"/>
              <w:jc w:val="center"/>
            </w:pPr>
            <w:r/>
            <w:r>
              <w:rPr>
                <w:rFonts w:ascii="Times New Roman" w:hAnsi="Times New Roman" w:eastAsia="宋体"/>
                <w:b/>
                <w:color w:val="000000"/>
                <w:sz w:val="21"/>
              </w:rPr>
              <w:t>最差</w:t>
            </w:r>
          </w:p>
        </w:tc>
        <w:tc>
          <w:tcPr>
            <w:tcW w:type="dxa" w:w="1039"/>
          </w:tcPr>
          <w:p>
            <w:pPr>
              <w:spacing w:line="240" w:lineRule="auto" w:before="20" w:after="20"/>
              <w:jc w:val="center"/>
            </w:pPr>
            <w:r/>
            <w:r>
              <w:rPr>
                <w:rFonts w:ascii="Times New Roman" w:hAnsi="Times New Roman" w:eastAsia="宋体"/>
                <w:b/>
                <w:color w:val="000000"/>
                <w:sz w:val="21"/>
              </w:rPr>
              <w:t>P05</w:t>
            </w:r>
          </w:p>
        </w:tc>
        <w:tc>
          <w:tcPr>
            <w:tcW w:type="dxa" w:w="1039"/>
          </w:tcPr>
          <w:p>
            <w:pPr>
              <w:spacing w:line="240" w:lineRule="auto" w:before="20" w:after="20"/>
              <w:jc w:val="center"/>
            </w:pPr>
            <w:r/>
            <w:r>
              <w:rPr>
                <w:rFonts w:ascii="Times New Roman" w:hAnsi="Times New Roman" w:eastAsia="宋体"/>
                <w:b/>
                <w:color w:val="000000"/>
                <w:sz w:val="21"/>
              </w:rPr>
              <w:t>下跌概率</w:t>
            </w:r>
          </w:p>
        </w:tc>
        <w:tc>
          <w:tcPr>
            <w:tcW w:type="dxa" w:w="1039"/>
          </w:tcPr>
          <w:p>
            <w:pPr>
              <w:spacing w:line="240" w:lineRule="auto" w:before="20" w:after="20"/>
              <w:jc w:val="center"/>
            </w:pPr>
            <w:r/>
            <w:r>
              <w:rPr>
                <w:rFonts w:ascii="Times New Roman" w:hAnsi="Times New Roman" w:eastAsia="宋体"/>
                <w:b/>
                <w:color w:val="000000"/>
                <w:sz w:val="21"/>
              </w:rPr>
              <w:t>高 HRI 命中率</w:t>
            </w:r>
          </w:p>
        </w:tc>
      </w:tr>
      <w:tr>
        <w:tc>
          <w:tcPr>
            <w:tcW w:type="dxa" w:w="1039"/>
          </w:tcPr>
          <w:p>
            <w:pPr>
              <w:spacing w:line="240" w:lineRule="auto" w:before="20" w:after="20"/>
              <w:jc w:val="left"/>
            </w:pPr>
            <w:r/>
            <w:r>
              <w:rPr>
                <w:rFonts w:ascii="Times New Roman" w:hAnsi="Times New Roman" w:eastAsia="宋体"/>
                <w:b w:val="0"/>
                <w:color w:val="000000"/>
                <w:sz w:val="21"/>
              </w:rPr>
              <w:t>风险平衡策略</w:t>
            </w:r>
          </w:p>
        </w:tc>
        <w:tc>
          <w:tcPr>
            <w:tcW w:type="dxa" w:w="1039"/>
          </w:tcPr>
          <w:p>
            <w:pPr>
              <w:spacing w:line="240" w:lineRule="auto" w:before="20" w:after="20"/>
              <w:jc w:val="right"/>
            </w:pPr>
            <w:r/>
            <w:r>
              <w:rPr>
                <w:rFonts w:ascii="Times New Roman" w:hAnsi="Times New Roman" w:eastAsia="宋体"/>
                <w:b w:val="0"/>
                <w:color w:val="000000"/>
                <w:sz w:val="21"/>
              </w:rPr>
              <w:t>+10.49%</w:t>
            </w:r>
          </w:p>
        </w:tc>
        <w:tc>
          <w:tcPr>
            <w:tcW w:type="dxa" w:w="1039"/>
          </w:tcPr>
          <w:p>
            <w:pPr>
              <w:spacing w:line="240" w:lineRule="auto" w:before="20" w:after="20"/>
              <w:jc w:val="right"/>
            </w:pPr>
            <w:r/>
            <w:r>
              <w:rPr>
                <w:rFonts w:ascii="Times New Roman" w:hAnsi="Times New Roman" w:eastAsia="宋体"/>
                <w:b w:val="0"/>
                <w:color w:val="000000"/>
                <w:sz w:val="21"/>
              </w:rPr>
              <w:t>+4.37%</w:t>
            </w:r>
          </w:p>
        </w:tc>
        <w:tc>
          <w:tcPr>
            <w:tcW w:type="dxa" w:w="1039"/>
          </w:tcPr>
          <w:p>
            <w:pPr>
              <w:spacing w:line="240" w:lineRule="auto" w:before="20" w:after="20"/>
              <w:jc w:val="right"/>
            </w:pPr>
            <w:r/>
            <w:r>
              <w:rPr>
                <w:rFonts w:ascii="Times New Roman" w:hAnsi="Times New Roman" w:eastAsia="宋体"/>
                <w:b w:val="0"/>
                <w:color w:val="000000"/>
                <w:sz w:val="21"/>
              </w:rPr>
              <w:t>−11.05%</w:t>
            </w:r>
          </w:p>
        </w:tc>
        <w:tc>
          <w:tcPr>
            <w:tcW w:type="dxa" w:w="1039"/>
          </w:tcPr>
          <w:p>
            <w:pPr>
              <w:spacing w:line="240" w:lineRule="auto" w:before="20" w:after="20"/>
              <w:jc w:val="right"/>
            </w:pPr>
            <w:r/>
            <w:r>
              <w:rPr>
                <w:rFonts w:ascii="Times New Roman" w:hAnsi="Times New Roman" w:eastAsia="宋体"/>
                <w:b w:val="0"/>
                <w:color w:val="000000"/>
                <w:sz w:val="21"/>
              </w:rPr>
              <w:t>−26.87%</w:t>
            </w:r>
          </w:p>
        </w:tc>
        <w:tc>
          <w:tcPr>
            <w:tcW w:type="dxa" w:w="1039"/>
          </w:tcPr>
          <w:p>
            <w:pPr>
              <w:spacing w:line="240" w:lineRule="auto" w:before="20" w:after="20"/>
              <w:jc w:val="right"/>
            </w:pPr>
            <w:r/>
            <w:r>
              <w:rPr>
                <w:rFonts w:ascii="Times New Roman" w:hAnsi="Times New Roman" w:eastAsia="宋体"/>
                <w:b w:val="0"/>
                <w:color w:val="000000"/>
                <w:sz w:val="21"/>
              </w:rPr>
              <w:t>−17.25%</w:t>
            </w:r>
          </w:p>
        </w:tc>
        <w:tc>
          <w:tcPr>
            <w:tcW w:type="dxa" w:w="1039"/>
          </w:tcPr>
          <w:p>
            <w:pPr>
              <w:spacing w:line="240" w:lineRule="auto" w:before="20" w:after="20"/>
              <w:jc w:val="right"/>
            </w:pPr>
            <w:r/>
            <w:r>
              <w:rPr>
                <w:rFonts w:ascii="Times New Roman" w:hAnsi="Times New Roman" w:eastAsia="宋体"/>
                <w:b w:val="0"/>
                <w:color w:val="000000"/>
                <w:sz w:val="21"/>
              </w:rPr>
              <w:t>35.5%</w:t>
            </w:r>
          </w:p>
        </w:tc>
        <w:tc>
          <w:tcPr>
            <w:tcW w:type="dxa" w:w="1039"/>
          </w:tcPr>
          <w:p>
            <w:pPr>
              <w:spacing w:line="240" w:lineRule="auto" w:before="20" w:after="20"/>
              <w:jc w:val="right"/>
            </w:pPr>
            <w:r/>
            <w:r>
              <w:rPr>
                <w:rFonts w:ascii="Times New Roman" w:hAnsi="Times New Roman" w:eastAsia="宋体"/>
                <w:b w:val="0"/>
                <w:color w:val="000000"/>
                <w:sz w:val="21"/>
              </w:rPr>
              <w:t>0.0%</w:t>
            </w:r>
          </w:p>
        </w:tc>
      </w:tr>
      <w:tr>
        <w:tc>
          <w:tcPr>
            <w:tcW w:type="dxa" w:w="1039"/>
          </w:tcPr>
          <w:p>
            <w:pPr>
              <w:spacing w:line="240" w:lineRule="auto" w:before="20" w:after="20"/>
              <w:jc w:val="left"/>
            </w:pPr>
            <w:r/>
            <w:r>
              <w:rPr>
                <w:rFonts w:ascii="Times New Roman" w:hAnsi="Times New Roman" w:eastAsia="宋体"/>
                <w:b w:val="0"/>
                <w:color w:val="000000"/>
                <w:sz w:val="21"/>
              </w:rPr>
              <w:t>相对收益策略</w:t>
            </w:r>
          </w:p>
        </w:tc>
        <w:tc>
          <w:tcPr>
            <w:tcW w:type="dxa" w:w="1039"/>
          </w:tcPr>
          <w:p>
            <w:pPr>
              <w:spacing w:line="240" w:lineRule="auto" w:before="20" w:after="20"/>
              <w:jc w:val="right"/>
            </w:pPr>
            <w:r/>
            <w:r>
              <w:rPr>
                <w:rFonts w:ascii="Times New Roman" w:hAnsi="Times New Roman" w:eastAsia="宋体"/>
                <w:b w:val="0"/>
                <w:color w:val="000000"/>
                <w:sz w:val="21"/>
              </w:rPr>
              <w:t>+10.24%</w:t>
            </w:r>
          </w:p>
        </w:tc>
        <w:tc>
          <w:tcPr>
            <w:tcW w:type="dxa" w:w="1039"/>
          </w:tcPr>
          <w:p>
            <w:pPr>
              <w:spacing w:line="240" w:lineRule="auto" w:before="20" w:after="20"/>
              <w:jc w:val="right"/>
            </w:pPr>
            <w:r/>
            <w:r>
              <w:rPr>
                <w:rFonts w:ascii="Times New Roman" w:hAnsi="Times New Roman" w:eastAsia="宋体"/>
                <w:b w:val="0"/>
                <w:color w:val="000000"/>
                <w:sz w:val="21"/>
              </w:rPr>
              <w:t>+4.32%</w:t>
            </w:r>
          </w:p>
        </w:tc>
        <w:tc>
          <w:tcPr>
            <w:tcW w:type="dxa" w:w="1039"/>
          </w:tcPr>
          <w:p>
            <w:pPr>
              <w:spacing w:line="240" w:lineRule="auto" w:before="20" w:after="20"/>
              <w:jc w:val="right"/>
            </w:pPr>
            <w:r/>
            <w:r>
              <w:rPr>
                <w:rFonts w:ascii="Times New Roman" w:hAnsi="Times New Roman" w:eastAsia="宋体"/>
                <w:b w:val="0"/>
                <w:color w:val="000000"/>
                <w:sz w:val="21"/>
              </w:rPr>
              <w:t>−10.05%</w:t>
            </w:r>
          </w:p>
        </w:tc>
        <w:tc>
          <w:tcPr>
            <w:tcW w:type="dxa" w:w="1039"/>
          </w:tcPr>
          <w:p>
            <w:pPr>
              <w:spacing w:line="240" w:lineRule="auto" w:before="20" w:after="20"/>
              <w:jc w:val="right"/>
            </w:pPr>
            <w:r/>
            <w:r>
              <w:rPr>
                <w:rFonts w:ascii="Times New Roman" w:hAnsi="Times New Roman" w:eastAsia="宋体"/>
                <w:b w:val="0"/>
                <w:color w:val="000000"/>
                <w:sz w:val="21"/>
              </w:rPr>
              <w:t>−26.87%</w:t>
            </w:r>
          </w:p>
        </w:tc>
        <w:tc>
          <w:tcPr>
            <w:tcW w:type="dxa" w:w="1039"/>
          </w:tcPr>
          <w:p>
            <w:pPr>
              <w:spacing w:line="240" w:lineRule="auto" w:before="20" w:after="20"/>
              <w:jc w:val="right"/>
            </w:pPr>
            <w:r/>
            <w:r>
              <w:rPr>
                <w:rFonts w:ascii="Times New Roman" w:hAnsi="Times New Roman" w:eastAsia="宋体"/>
                <w:b w:val="0"/>
                <w:color w:val="000000"/>
                <w:sz w:val="21"/>
              </w:rPr>
              <w:t>−16.38%</w:t>
            </w:r>
          </w:p>
        </w:tc>
        <w:tc>
          <w:tcPr>
            <w:tcW w:type="dxa" w:w="1039"/>
          </w:tcPr>
          <w:p>
            <w:pPr>
              <w:spacing w:line="240" w:lineRule="auto" w:before="20" w:after="20"/>
              <w:jc w:val="right"/>
            </w:pPr>
            <w:r/>
            <w:r>
              <w:rPr>
                <w:rFonts w:ascii="Times New Roman" w:hAnsi="Times New Roman" w:eastAsia="宋体"/>
                <w:b w:val="0"/>
                <w:color w:val="000000"/>
                <w:sz w:val="21"/>
              </w:rPr>
              <w:t>41.9%</w:t>
            </w:r>
          </w:p>
        </w:tc>
        <w:tc>
          <w:tcPr>
            <w:tcW w:type="dxa" w:w="1039"/>
          </w:tcPr>
          <w:p>
            <w:pPr>
              <w:spacing w:line="240" w:lineRule="auto" w:before="20" w:after="20"/>
              <w:jc w:val="right"/>
            </w:pPr>
            <w:r/>
            <w:r>
              <w:rPr>
                <w:rFonts w:ascii="Times New Roman" w:hAnsi="Times New Roman" w:eastAsia="宋体"/>
                <w:b w:val="0"/>
                <w:color w:val="000000"/>
                <w:sz w:val="21"/>
              </w:rPr>
              <w:t>9.7%</w:t>
            </w:r>
          </w:p>
        </w:tc>
      </w:tr>
      <w:tr>
        <w:tc>
          <w:tcPr>
            <w:tcW w:type="dxa" w:w="1039"/>
          </w:tcPr>
          <w:p>
            <w:pPr>
              <w:spacing w:line="240" w:lineRule="auto" w:before="20" w:after="20"/>
              <w:jc w:val="left"/>
            </w:pPr>
            <w:r/>
            <w:r>
              <w:rPr>
                <w:rFonts w:ascii="Times New Roman" w:hAnsi="Times New Roman" w:eastAsia="宋体"/>
                <w:b w:val="0"/>
                <w:color w:val="000000"/>
                <w:sz w:val="21"/>
              </w:rPr>
              <w:t>最小尾部风险策略</w:t>
            </w:r>
          </w:p>
        </w:tc>
        <w:tc>
          <w:tcPr>
            <w:tcW w:type="dxa" w:w="1039"/>
          </w:tcPr>
          <w:p>
            <w:pPr>
              <w:spacing w:line="240" w:lineRule="auto" w:before="20" w:after="20"/>
              <w:jc w:val="right"/>
            </w:pPr>
            <w:r/>
            <w:r>
              <w:rPr>
                <w:rFonts w:ascii="Times New Roman" w:hAnsi="Times New Roman" w:eastAsia="宋体"/>
                <w:b w:val="0"/>
                <w:color w:val="000000"/>
                <w:sz w:val="21"/>
              </w:rPr>
              <w:t>+10.12%</w:t>
            </w:r>
          </w:p>
        </w:tc>
        <w:tc>
          <w:tcPr>
            <w:tcW w:type="dxa" w:w="1039"/>
          </w:tcPr>
          <w:p>
            <w:pPr>
              <w:spacing w:line="240" w:lineRule="auto" w:before="20" w:after="20"/>
              <w:jc w:val="right"/>
            </w:pPr>
            <w:r/>
            <w:r>
              <w:rPr>
                <w:rFonts w:ascii="Times New Roman" w:hAnsi="Times New Roman" w:eastAsia="宋体"/>
                <w:b w:val="0"/>
                <w:color w:val="000000"/>
                <w:sz w:val="21"/>
              </w:rPr>
              <w:t>+4.88%</w:t>
            </w:r>
          </w:p>
        </w:tc>
        <w:tc>
          <w:tcPr>
            <w:tcW w:type="dxa" w:w="1039"/>
          </w:tcPr>
          <w:p>
            <w:pPr>
              <w:spacing w:line="240" w:lineRule="auto" w:before="20" w:after="20"/>
              <w:jc w:val="right"/>
            </w:pPr>
            <w:r/>
            <w:r>
              <w:rPr>
                <w:rFonts w:ascii="Times New Roman" w:hAnsi="Times New Roman" w:eastAsia="宋体"/>
                <w:b w:val="0"/>
                <w:color w:val="000000"/>
                <w:sz w:val="21"/>
              </w:rPr>
              <w:t>−5.49%</w:t>
            </w:r>
          </w:p>
        </w:tc>
        <w:tc>
          <w:tcPr>
            <w:tcW w:type="dxa" w:w="1039"/>
          </w:tcPr>
          <w:p>
            <w:pPr>
              <w:spacing w:line="240" w:lineRule="auto" w:before="20" w:after="20"/>
              <w:jc w:val="right"/>
            </w:pPr>
            <w:r/>
            <w:r>
              <w:rPr>
                <w:rFonts w:ascii="Times New Roman" w:hAnsi="Times New Roman" w:eastAsia="宋体"/>
                <w:b w:val="0"/>
                <w:color w:val="000000"/>
                <w:sz w:val="21"/>
              </w:rPr>
              <w:t>−15.16%</w:t>
            </w:r>
          </w:p>
        </w:tc>
        <w:tc>
          <w:tcPr>
            <w:tcW w:type="dxa" w:w="1039"/>
          </w:tcPr>
          <w:p>
            <w:pPr>
              <w:spacing w:line="240" w:lineRule="auto" w:before="20" w:after="20"/>
              <w:jc w:val="right"/>
            </w:pPr>
            <w:r/>
            <w:r>
              <w:rPr>
                <w:rFonts w:ascii="Times New Roman" w:hAnsi="Times New Roman" w:eastAsia="宋体"/>
                <w:b w:val="0"/>
                <w:color w:val="000000"/>
                <w:sz w:val="21"/>
              </w:rPr>
              <w:t>−10.26%</w:t>
            </w:r>
          </w:p>
        </w:tc>
        <w:tc>
          <w:tcPr>
            <w:tcW w:type="dxa" w:w="1039"/>
          </w:tcPr>
          <w:p>
            <w:pPr>
              <w:spacing w:line="240" w:lineRule="auto" w:before="20" w:after="20"/>
              <w:jc w:val="right"/>
            </w:pPr>
            <w:r/>
            <w:r>
              <w:rPr>
                <w:rFonts w:ascii="Times New Roman" w:hAnsi="Times New Roman" w:eastAsia="宋体"/>
                <w:b w:val="0"/>
                <w:color w:val="000000"/>
                <w:sz w:val="21"/>
              </w:rPr>
              <w:t>35.5%</w:t>
            </w:r>
          </w:p>
        </w:tc>
        <w:tc>
          <w:tcPr>
            <w:tcW w:type="dxa" w:w="1039"/>
          </w:tcPr>
          <w:p>
            <w:pPr>
              <w:spacing w:line="240" w:lineRule="auto" w:before="20" w:after="20"/>
              <w:jc w:val="right"/>
            </w:pPr>
            <w:r/>
            <w:r>
              <w:rPr>
                <w:rFonts w:ascii="Times New Roman" w:hAnsi="Times New Roman" w:eastAsia="宋体"/>
                <w:b w:val="0"/>
                <w:color w:val="000000"/>
                <w:sz w:val="21"/>
              </w:rPr>
              <w:t>6.5%</w:t>
            </w:r>
          </w:p>
        </w:tc>
      </w:tr>
      <w:tr>
        <w:tc>
          <w:tcPr>
            <w:tcW w:type="dxa" w:w="1039"/>
          </w:tcPr>
          <w:p>
            <w:pPr>
              <w:spacing w:line="240" w:lineRule="auto" w:before="20" w:after="20"/>
              <w:jc w:val="left"/>
            </w:pPr>
            <w:r/>
            <w:r>
              <w:rPr>
                <w:rFonts w:ascii="Times New Roman" w:hAnsi="Times New Roman" w:eastAsia="宋体"/>
                <w:b w:val="0"/>
                <w:color w:val="000000"/>
                <w:sz w:val="21"/>
              </w:rPr>
              <w:t>季节策略</w:t>
            </w:r>
          </w:p>
        </w:tc>
        <w:tc>
          <w:tcPr>
            <w:tcW w:type="dxa" w:w="1039"/>
          </w:tcPr>
          <w:p>
            <w:pPr>
              <w:spacing w:line="240" w:lineRule="auto" w:before="20" w:after="20"/>
              <w:jc w:val="right"/>
            </w:pPr>
            <w:r/>
            <w:r>
              <w:rPr>
                <w:rFonts w:ascii="Times New Roman" w:hAnsi="Times New Roman" w:eastAsia="宋体"/>
                <w:b w:val="0"/>
                <w:color w:val="000000"/>
                <w:sz w:val="21"/>
              </w:rPr>
              <w:t>+4.01%</w:t>
            </w:r>
          </w:p>
        </w:tc>
        <w:tc>
          <w:tcPr>
            <w:tcW w:type="dxa" w:w="1039"/>
          </w:tcPr>
          <w:p>
            <w:pPr>
              <w:spacing w:line="240" w:lineRule="auto" w:before="20" w:after="20"/>
              <w:jc w:val="right"/>
            </w:pPr>
            <w:r/>
            <w:r>
              <w:rPr>
                <w:rFonts w:ascii="Times New Roman" w:hAnsi="Times New Roman" w:eastAsia="宋体"/>
                <w:b w:val="0"/>
                <w:color w:val="000000"/>
                <w:sz w:val="21"/>
              </w:rPr>
              <w:t>+1.67%</w:t>
            </w:r>
          </w:p>
        </w:tc>
        <w:tc>
          <w:tcPr>
            <w:tcW w:type="dxa" w:w="1039"/>
          </w:tcPr>
          <w:p>
            <w:pPr>
              <w:spacing w:line="240" w:lineRule="auto" w:before="20" w:after="20"/>
              <w:jc w:val="right"/>
            </w:pPr>
            <w:r/>
            <w:r>
              <w:rPr>
                <w:rFonts w:ascii="Times New Roman" w:hAnsi="Times New Roman" w:eastAsia="宋体"/>
                <w:b w:val="0"/>
                <w:color w:val="000000"/>
                <w:sz w:val="21"/>
              </w:rPr>
              <w:t>−11.43%</w:t>
            </w:r>
          </w:p>
        </w:tc>
        <w:tc>
          <w:tcPr>
            <w:tcW w:type="dxa" w:w="1039"/>
          </w:tcPr>
          <w:p>
            <w:pPr>
              <w:spacing w:line="240" w:lineRule="auto" w:before="20" w:after="20"/>
              <w:jc w:val="right"/>
            </w:pPr>
            <w:r/>
            <w:r>
              <w:rPr>
                <w:rFonts w:ascii="Times New Roman" w:hAnsi="Times New Roman" w:eastAsia="宋体"/>
                <w:b w:val="0"/>
                <w:color w:val="000000"/>
                <w:sz w:val="21"/>
              </w:rPr>
              <w:t>−24.64%</w:t>
            </w:r>
          </w:p>
        </w:tc>
        <w:tc>
          <w:tcPr>
            <w:tcW w:type="dxa" w:w="1039"/>
          </w:tcPr>
          <w:p>
            <w:pPr>
              <w:spacing w:line="240" w:lineRule="auto" w:before="20" w:after="20"/>
              <w:jc w:val="right"/>
            </w:pPr>
            <w:r/>
            <w:r>
              <w:rPr>
                <w:rFonts w:ascii="Times New Roman" w:hAnsi="Times New Roman" w:eastAsia="宋体"/>
                <w:b w:val="0"/>
                <w:color w:val="000000"/>
                <w:sz w:val="21"/>
              </w:rPr>
              <w:t>−18.24%</w:t>
            </w:r>
          </w:p>
        </w:tc>
        <w:tc>
          <w:tcPr>
            <w:tcW w:type="dxa" w:w="1039"/>
          </w:tcPr>
          <w:p>
            <w:pPr>
              <w:spacing w:line="240" w:lineRule="auto" w:before="20" w:after="20"/>
              <w:jc w:val="right"/>
            </w:pPr>
            <w:r/>
            <w:r>
              <w:rPr>
                <w:rFonts w:ascii="Times New Roman" w:hAnsi="Times New Roman" w:eastAsia="宋体"/>
                <w:b w:val="0"/>
                <w:color w:val="000000"/>
                <w:sz w:val="21"/>
              </w:rPr>
              <w:t>45.2%</w:t>
            </w:r>
          </w:p>
        </w:tc>
        <w:tc>
          <w:tcPr>
            <w:tcW w:type="dxa" w:w="1039"/>
          </w:tcPr>
          <w:p>
            <w:pPr>
              <w:spacing w:line="240" w:lineRule="auto" w:before="20" w:after="20"/>
              <w:jc w:val="right"/>
            </w:pPr>
            <w:r/>
            <w:r>
              <w:rPr>
                <w:rFonts w:ascii="Times New Roman" w:hAnsi="Times New Roman" w:eastAsia="宋体"/>
                <w:b w:val="0"/>
                <w:color w:val="000000"/>
                <w:sz w:val="21"/>
              </w:rPr>
              <w:t>12.9%</w:t>
            </w:r>
          </w:p>
        </w:tc>
      </w:tr>
      <w:tr>
        <w:tc>
          <w:tcPr>
            <w:tcW w:type="dxa" w:w="1039"/>
          </w:tcPr>
          <w:p>
            <w:pPr>
              <w:spacing w:line="240" w:lineRule="auto" w:before="20" w:after="20"/>
              <w:jc w:val="left"/>
            </w:pPr>
            <w:r/>
            <w:r>
              <w:rPr>
                <w:rFonts w:ascii="Times New Roman" w:hAnsi="Times New Roman" w:eastAsia="宋体"/>
                <w:b w:val="0"/>
                <w:color w:val="000000"/>
                <w:sz w:val="21"/>
              </w:rPr>
              <w:t>低风险策略</w:t>
            </w:r>
          </w:p>
        </w:tc>
        <w:tc>
          <w:tcPr>
            <w:tcW w:type="dxa" w:w="1039"/>
          </w:tcPr>
          <w:p>
            <w:pPr>
              <w:spacing w:line="240" w:lineRule="auto" w:before="20" w:after="20"/>
              <w:jc w:val="right"/>
            </w:pPr>
            <w:r/>
            <w:r>
              <w:rPr>
                <w:rFonts w:ascii="Times New Roman" w:hAnsi="Times New Roman" w:eastAsia="宋体"/>
                <w:b w:val="0"/>
                <w:color w:val="000000"/>
                <w:sz w:val="21"/>
              </w:rPr>
              <w:t>+2.55%</w:t>
            </w:r>
          </w:p>
        </w:tc>
        <w:tc>
          <w:tcPr>
            <w:tcW w:type="dxa" w:w="1039"/>
          </w:tcPr>
          <w:p>
            <w:pPr>
              <w:spacing w:line="240" w:lineRule="auto" w:before="20" w:after="20"/>
              <w:jc w:val="right"/>
            </w:pPr>
            <w:r/>
            <w:r>
              <w:rPr>
                <w:rFonts w:ascii="Times New Roman" w:hAnsi="Times New Roman" w:eastAsia="宋体"/>
                <w:b w:val="0"/>
                <w:color w:val="000000"/>
                <w:sz w:val="21"/>
              </w:rPr>
              <w:t>+4.32%</w:t>
            </w:r>
          </w:p>
        </w:tc>
        <w:tc>
          <w:tcPr>
            <w:tcW w:type="dxa" w:w="1039"/>
          </w:tcPr>
          <w:p>
            <w:pPr>
              <w:spacing w:line="240" w:lineRule="auto" w:before="20" w:after="20"/>
              <w:jc w:val="right"/>
            </w:pPr>
            <w:r/>
            <w:r>
              <w:rPr>
                <w:rFonts w:ascii="Times New Roman" w:hAnsi="Times New Roman" w:eastAsia="宋体"/>
                <w:b w:val="0"/>
                <w:color w:val="000000"/>
                <w:sz w:val="21"/>
              </w:rPr>
              <w:t>−11.49%</w:t>
            </w:r>
          </w:p>
        </w:tc>
        <w:tc>
          <w:tcPr>
            <w:tcW w:type="dxa" w:w="1039"/>
          </w:tcPr>
          <w:p>
            <w:pPr>
              <w:spacing w:line="240" w:lineRule="auto" w:before="20" w:after="20"/>
              <w:jc w:val="right"/>
            </w:pPr>
            <w:r/>
            <w:r>
              <w:rPr>
                <w:rFonts w:ascii="Times New Roman" w:hAnsi="Times New Roman" w:eastAsia="宋体"/>
                <w:b w:val="0"/>
                <w:color w:val="000000"/>
                <w:sz w:val="21"/>
              </w:rPr>
              <w:t>−20.97%</w:t>
            </w:r>
          </w:p>
        </w:tc>
        <w:tc>
          <w:tcPr>
            <w:tcW w:type="dxa" w:w="1039"/>
          </w:tcPr>
          <w:p>
            <w:pPr>
              <w:spacing w:line="240" w:lineRule="auto" w:before="20" w:after="20"/>
              <w:jc w:val="right"/>
            </w:pPr>
            <w:r/>
            <w:r>
              <w:rPr>
                <w:rFonts w:ascii="Times New Roman" w:hAnsi="Times New Roman" w:eastAsia="宋体"/>
                <w:b w:val="0"/>
                <w:color w:val="000000"/>
                <w:sz w:val="21"/>
              </w:rPr>
              <w:t>−17.79%</w:t>
            </w:r>
          </w:p>
        </w:tc>
        <w:tc>
          <w:tcPr>
            <w:tcW w:type="dxa" w:w="1039"/>
          </w:tcPr>
          <w:p>
            <w:pPr>
              <w:spacing w:line="240" w:lineRule="auto" w:before="20" w:after="20"/>
              <w:jc w:val="right"/>
            </w:pPr>
            <w:r/>
            <w:r>
              <w:rPr>
                <w:rFonts w:ascii="Times New Roman" w:hAnsi="Times New Roman" w:eastAsia="宋体"/>
                <w:b w:val="0"/>
                <w:color w:val="000000"/>
                <w:sz w:val="21"/>
              </w:rPr>
              <w:t>35.5%</w:t>
            </w:r>
          </w:p>
        </w:tc>
        <w:tc>
          <w:tcPr>
            <w:tcW w:type="dxa" w:w="1039"/>
          </w:tcPr>
          <w:p>
            <w:pPr>
              <w:spacing w:line="240" w:lineRule="auto" w:before="20" w:after="20"/>
              <w:jc w:val="right"/>
            </w:pPr>
            <w:r/>
            <w:r>
              <w:rPr>
                <w:rFonts w:ascii="Times New Roman" w:hAnsi="Times New Roman" w:eastAsia="宋体"/>
                <w:b w:val="0"/>
                <w:color w:val="000000"/>
                <w:sz w:val="21"/>
              </w:rPr>
              <w:t>0.0%</w:t>
            </w:r>
          </w:p>
        </w:tc>
      </w:tr>
      <w:tr>
        <w:tc>
          <w:tcPr>
            <w:tcW w:type="dxa" w:w="1039"/>
          </w:tcPr>
          <w:p>
            <w:pPr>
              <w:spacing w:line="240" w:lineRule="auto" w:before="20" w:after="20"/>
              <w:jc w:val="left"/>
            </w:pPr>
            <w:r/>
            <w:r>
              <w:rPr>
                <w:rFonts w:ascii="Times New Roman" w:hAnsi="Times New Roman" w:eastAsia="宋体"/>
                <w:b w:val="0"/>
                <w:color w:val="000000"/>
                <w:sz w:val="21"/>
              </w:rPr>
              <w:t>追涨策略</w:t>
            </w:r>
          </w:p>
        </w:tc>
        <w:tc>
          <w:tcPr>
            <w:tcW w:type="dxa" w:w="1039"/>
          </w:tcPr>
          <w:p>
            <w:pPr>
              <w:spacing w:line="240" w:lineRule="auto" w:before="20" w:after="20"/>
              <w:jc w:val="right"/>
            </w:pPr>
            <w:r/>
            <w:r>
              <w:rPr>
                <w:rFonts w:ascii="Times New Roman" w:hAnsi="Times New Roman" w:eastAsia="宋体"/>
                <w:b w:val="0"/>
                <w:color w:val="000000"/>
                <w:sz w:val="21"/>
              </w:rPr>
              <w:t>+1.71%</w:t>
            </w:r>
          </w:p>
        </w:tc>
        <w:tc>
          <w:tcPr>
            <w:tcW w:type="dxa" w:w="1039"/>
          </w:tcPr>
          <w:p>
            <w:pPr>
              <w:spacing w:line="240" w:lineRule="auto" w:before="20" w:after="20"/>
              <w:jc w:val="right"/>
            </w:pPr>
            <w:r/>
            <w:r>
              <w:rPr>
                <w:rFonts w:ascii="Times New Roman" w:hAnsi="Times New Roman" w:eastAsia="宋体"/>
                <w:b w:val="0"/>
                <w:color w:val="000000"/>
                <w:sz w:val="21"/>
              </w:rPr>
              <w:t>−1.85%</w:t>
            </w:r>
          </w:p>
        </w:tc>
        <w:tc>
          <w:tcPr>
            <w:tcW w:type="dxa" w:w="1039"/>
          </w:tcPr>
          <w:p>
            <w:pPr>
              <w:spacing w:line="240" w:lineRule="auto" w:before="20" w:after="20"/>
              <w:jc w:val="right"/>
            </w:pPr>
            <w:r/>
            <w:r>
              <w:rPr>
                <w:rFonts w:ascii="Times New Roman" w:hAnsi="Times New Roman" w:eastAsia="宋体"/>
                <w:b w:val="0"/>
                <w:color w:val="000000"/>
                <w:sz w:val="21"/>
              </w:rPr>
              <w:t>−13.44%</w:t>
            </w:r>
          </w:p>
        </w:tc>
        <w:tc>
          <w:tcPr>
            <w:tcW w:type="dxa" w:w="1039"/>
          </w:tcPr>
          <w:p>
            <w:pPr>
              <w:spacing w:line="240" w:lineRule="auto" w:before="20" w:after="20"/>
              <w:jc w:val="right"/>
            </w:pPr>
            <w:r/>
            <w:r>
              <w:rPr>
                <w:rFonts w:ascii="Times New Roman" w:hAnsi="Times New Roman" w:eastAsia="宋体"/>
                <w:b w:val="0"/>
                <w:color w:val="000000"/>
                <w:sz w:val="21"/>
              </w:rPr>
              <w:t>−33.76%</w:t>
            </w:r>
          </w:p>
        </w:tc>
        <w:tc>
          <w:tcPr>
            <w:tcW w:type="dxa" w:w="1039"/>
          </w:tcPr>
          <w:p>
            <w:pPr>
              <w:spacing w:line="240" w:lineRule="auto" w:before="20" w:after="20"/>
              <w:jc w:val="right"/>
            </w:pPr>
            <w:r/>
            <w:r>
              <w:rPr>
                <w:rFonts w:ascii="Times New Roman" w:hAnsi="Times New Roman" w:eastAsia="宋体"/>
                <w:b w:val="0"/>
                <w:color w:val="000000"/>
                <w:sz w:val="21"/>
              </w:rPr>
              <w:t>−21.53%</w:t>
            </w:r>
          </w:p>
        </w:tc>
        <w:tc>
          <w:tcPr>
            <w:tcW w:type="dxa" w:w="1039"/>
          </w:tcPr>
          <w:p>
            <w:pPr>
              <w:spacing w:line="240" w:lineRule="auto" w:before="20" w:after="20"/>
              <w:jc w:val="right"/>
            </w:pPr>
            <w:r/>
            <w:r>
              <w:rPr>
                <w:rFonts w:ascii="Times New Roman" w:hAnsi="Times New Roman" w:eastAsia="宋体"/>
                <w:b w:val="0"/>
                <w:color w:val="000000"/>
                <w:sz w:val="21"/>
              </w:rPr>
              <w:t>54.8%</w:t>
            </w:r>
          </w:p>
        </w:tc>
        <w:tc>
          <w:tcPr>
            <w:tcW w:type="dxa" w:w="1039"/>
          </w:tcPr>
          <w:p>
            <w:pPr>
              <w:spacing w:line="240" w:lineRule="auto" w:before="20" w:after="20"/>
              <w:jc w:val="right"/>
            </w:pPr>
            <w:r/>
            <w:r>
              <w:rPr>
                <w:rFonts w:ascii="Times New Roman" w:hAnsi="Times New Roman" w:eastAsia="宋体"/>
                <w:b w:val="0"/>
                <w:color w:val="000000"/>
                <w:sz w:val="21"/>
              </w:rPr>
              <w:t>54.8%</w:t>
            </w:r>
          </w:p>
        </w:tc>
      </w:tr>
      <w:tr>
        <w:tc>
          <w:tcPr>
            <w:tcW w:type="dxa" w:w="1039"/>
          </w:tcPr>
          <w:p>
            <w:pPr>
              <w:spacing w:line="240" w:lineRule="auto" w:before="20" w:after="20"/>
              <w:jc w:val="left"/>
            </w:pPr>
            <w:r/>
            <w:r>
              <w:rPr>
                <w:rFonts w:ascii="Times New Roman" w:hAnsi="Times New Roman" w:eastAsia="宋体"/>
                <w:b w:val="0"/>
                <w:color w:val="000000"/>
                <w:sz w:val="21"/>
              </w:rPr>
              <w:t>随机（期望）</w:t>
            </w:r>
          </w:p>
        </w:tc>
        <w:tc>
          <w:tcPr>
            <w:tcW w:type="dxa" w:w="1039"/>
          </w:tcPr>
          <w:p>
            <w:pPr>
              <w:spacing w:line="240" w:lineRule="auto" w:before="20" w:after="20"/>
              <w:jc w:val="right"/>
            </w:pPr>
            <w:r/>
            <w:r>
              <w:rPr>
                <w:rFonts w:ascii="Times New Roman" w:hAnsi="Times New Roman" w:eastAsia="宋体"/>
                <w:b w:val="0"/>
                <w:color w:val="000000"/>
                <w:sz w:val="21"/>
              </w:rPr>
              <w:t>+0.92%</w:t>
            </w:r>
          </w:p>
        </w:tc>
        <w:tc>
          <w:tcPr>
            <w:tcW w:type="dxa" w:w="1039"/>
          </w:tcPr>
          <w:p>
            <w:pPr>
              <w:spacing w:line="240" w:lineRule="auto" w:before="20" w:after="20"/>
              <w:jc w:val="right"/>
            </w:pPr>
            <w:r/>
            <w:r>
              <w:rPr>
                <w:rFonts w:ascii="Times New Roman" w:hAnsi="Times New Roman" w:eastAsia="宋体"/>
                <w:b w:val="0"/>
                <w:color w:val="000000"/>
                <w:sz w:val="21"/>
              </w:rPr>
              <w:t>−0.52%</w:t>
            </w:r>
          </w:p>
        </w:tc>
        <w:tc>
          <w:tcPr>
            <w:tcW w:type="dxa" w:w="1039"/>
          </w:tcPr>
          <w:p>
            <w:pPr>
              <w:spacing w:line="240" w:lineRule="auto" w:before="20" w:after="20"/>
              <w:jc w:val="right"/>
            </w:pPr>
            <w:r/>
            <w:r>
              <w:rPr>
                <w:rFonts w:ascii="Times New Roman" w:hAnsi="Times New Roman" w:eastAsia="宋体"/>
                <w:b w:val="0"/>
                <w:color w:val="000000"/>
                <w:sz w:val="21"/>
              </w:rPr>
              <w:t>−7.50%</w:t>
            </w:r>
          </w:p>
        </w:tc>
        <w:tc>
          <w:tcPr>
            <w:tcW w:type="dxa" w:w="1039"/>
          </w:tcPr>
          <w:p>
            <w:pPr>
              <w:spacing w:line="240" w:lineRule="auto" w:before="20" w:after="20"/>
              <w:jc w:val="right"/>
            </w:pPr>
            <w:r/>
            <w:r>
              <w:rPr>
                <w:rFonts w:ascii="Times New Roman" w:hAnsi="Times New Roman" w:eastAsia="宋体"/>
                <w:b w:val="0"/>
                <w:color w:val="000000"/>
                <w:sz w:val="21"/>
              </w:rPr>
              <w:t>−18.73%</w:t>
            </w:r>
          </w:p>
        </w:tc>
        <w:tc>
          <w:tcPr>
            <w:tcW w:type="dxa" w:w="1039"/>
          </w:tcPr>
          <w:p>
            <w:pPr>
              <w:spacing w:line="240" w:lineRule="auto" w:before="20" w:after="20"/>
              <w:jc w:val="right"/>
            </w:pPr>
            <w:r/>
            <w:r>
              <w:rPr>
                <w:rFonts w:ascii="Times New Roman" w:hAnsi="Times New Roman" w:eastAsia="宋体"/>
                <w:b w:val="0"/>
                <w:color w:val="000000"/>
                <w:sz w:val="21"/>
              </w:rPr>
              <w:t>−12.51%</w:t>
            </w:r>
          </w:p>
        </w:tc>
        <w:tc>
          <w:tcPr>
            <w:tcW w:type="dxa" w:w="1039"/>
          </w:tcPr>
          <w:p>
            <w:pPr>
              <w:spacing w:line="240" w:lineRule="auto" w:before="20" w:after="20"/>
              <w:jc w:val="right"/>
            </w:pPr>
            <w:r/>
            <w:r>
              <w:rPr>
                <w:rFonts w:ascii="Times New Roman" w:hAnsi="Times New Roman" w:eastAsia="宋体"/>
                <w:b w:val="0"/>
                <w:color w:val="000000"/>
                <w:sz w:val="21"/>
              </w:rPr>
              <w:t>51.6%</w:t>
            </w:r>
          </w:p>
        </w:tc>
        <w:tc>
          <w:tcPr>
            <w:tcW w:type="dxa" w:w="1039"/>
          </w:tcPr>
          <w:p>
            <w:pPr>
              <w:spacing w:line="240" w:lineRule="auto" w:before="20" w:after="20"/>
              <w:jc w:val="right"/>
            </w:pPr>
            <w:r/>
            <w:r>
              <w:rPr>
                <w:rFonts w:ascii="Times New Roman" w:hAnsi="Times New Roman" w:eastAsia="宋体"/>
                <w:b w:val="0"/>
                <w:color w:val="000000"/>
                <w:sz w:val="21"/>
              </w:rPr>
              <w:t>—</w:t>
            </w:r>
          </w:p>
        </w:tc>
      </w:tr>
      <w:tr>
        <w:tc>
          <w:tcPr>
            <w:tcW w:type="dxa" w:w="1039"/>
          </w:tcPr>
          <w:p>
            <w:pPr>
              <w:spacing w:line="240" w:lineRule="auto" w:before="20" w:after="20"/>
              <w:jc w:val="left"/>
            </w:pPr>
            <w:r/>
            <w:r>
              <w:rPr>
                <w:rFonts w:ascii="Times New Roman" w:hAnsi="Times New Roman" w:eastAsia="宋体"/>
                <w:b w:val="0"/>
                <w:color w:val="000000"/>
                <w:sz w:val="21"/>
              </w:rPr>
              <w:t>最高价策略</w:t>
            </w:r>
          </w:p>
        </w:tc>
        <w:tc>
          <w:tcPr>
            <w:tcW w:type="dxa" w:w="1039"/>
          </w:tcPr>
          <w:p>
            <w:pPr>
              <w:spacing w:line="240" w:lineRule="auto" w:before="20" w:after="20"/>
              <w:jc w:val="right"/>
            </w:pPr>
            <w:r/>
            <w:r>
              <w:rPr>
                <w:rFonts w:ascii="Times New Roman" w:hAnsi="Times New Roman" w:eastAsia="宋体"/>
                <w:b w:val="0"/>
                <w:color w:val="000000"/>
                <w:sz w:val="21"/>
              </w:rPr>
              <w:t>−2.40%</w:t>
            </w:r>
          </w:p>
        </w:tc>
        <w:tc>
          <w:tcPr>
            <w:tcW w:type="dxa" w:w="1039"/>
          </w:tcPr>
          <w:p>
            <w:pPr>
              <w:spacing w:line="240" w:lineRule="auto" w:before="20" w:after="20"/>
              <w:jc w:val="right"/>
            </w:pPr>
            <w:r/>
            <w:r>
              <w:rPr>
                <w:rFonts w:ascii="Times New Roman" w:hAnsi="Times New Roman" w:eastAsia="宋体"/>
                <w:b w:val="0"/>
                <w:color w:val="000000"/>
                <w:sz w:val="21"/>
              </w:rPr>
              <w:t>−4.23%</w:t>
            </w:r>
          </w:p>
        </w:tc>
        <w:tc>
          <w:tcPr>
            <w:tcW w:type="dxa" w:w="1039"/>
          </w:tcPr>
          <w:p>
            <w:pPr>
              <w:spacing w:line="240" w:lineRule="auto" w:before="20" w:after="20"/>
              <w:jc w:val="right"/>
            </w:pPr>
            <w:r/>
            <w:r>
              <w:rPr>
                <w:rFonts w:ascii="Times New Roman" w:hAnsi="Times New Roman" w:eastAsia="宋体"/>
                <w:b w:val="0"/>
                <w:color w:val="000000"/>
                <w:sz w:val="21"/>
              </w:rPr>
              <w:t>−10.81%</w:t>
            </w:r>
          </w:p>
        </w:tc>
        <w:tc>
          <w:tcPr>
            <w:tcW w:type="dxa" w:w="1039"/>
          </w:tcPr>
          <w:p>
            <w:pPr>
              <w:spacing w:line="240" w:lineRule="auto" w:before="20" w:after="20"/>
              <w:jc w:val="right"/>
            </w:pPr>
            <w:r/>
            <w:r>
              <w:rPr>
                <w:rFonts w:ascii="Times New Roman" w:hAnsi="Times New Roman" w:eastAsia="宋体"/>
                <w:b w:val="0"/>
                <w:color w:val="000000"/>
                <w:sz w:val="21"/>
              </w:rPr>
              <w:t>−24.64%</w:t>
            </w:r>
          </w:p>
        </w:tc>
        <w:tc>
          <w:tcPr>
            <w:tcW w:type="dxa" w:w="1039"/>
          </w:tcPr>
          <w:p>
            <w:pPr>
              <w:spacing w:line="240" w:lineRule="auto" w:before="20" w:after="20"/>
              <w:jc w:val="right"/>
            </w:pPr>
            <w:r/>
            <w:r>
              <w:rPr>
                <w:rFonts w:ascii="Times New Roman" w:hAnsi="Times New Roman" w:eastAsia="宋体"/>
                <w:b w:val="0"/>
                <w:color w:val="000000"/>
                <w:sz w:val="21"/>
              </w:rPr>
              <w:t>−22.79%</w:t>
            </w:r>
          </w:p>
        </w:tc>
        <w:tc>
          <w:tcPr>
            <w:tcW w:type="dxa" w:w="1039"/>
          </w:tcPr>
          <w:p>
            <w:pPr>
              <w:spacing w:line="240" w:lineRule="auto" w:before="20" w:after="20"/>
              <w:jc w:val="right"/>
            </w:pPr>
            <w:r/>
            <w:r>
              <w:rPr>
                <w:rFonts w:ascii="Times New Roman" w:hAnsi="Times New Roman" w:eastAsia="宋体"/>
                <w:b w:val="0"/>
                <w:color w:val="000000"/>
                <w:sz w:val="21"/>
              </w:rPr>
              <w:t>64.5%</w:t>
            </w:r>
          </w:p>
        </w:tc>
        <w:tc>
          <w:tcPr>
            <w:tcW w:type="dxa" w:w="1039"/>
          </w:tcPr>
          <w:p>
            <w:pPr>
              <w:spacing w:line="240" w:lineRule="auto" w:before="20" w:after="20"/>
              <w:jc w:val="right"/>
            </w:pPr>
            <w:r/>
            <w:r>
              <w:rPr>
                <w:rFonts w:ascii="Times New Roman" w:hAnsi="Times New Roman" w:eastAsia="宋体"/>
                <w:b w:val="0"/>
                <w:color w:val="000000"/>
                <w:sz w:val="21"/>
              </w:rPr>
              <w:t>19.4%</w:t>
            </w:r>
          </w:p>
        </w:tc>
      </w:tr>
    </w:tbl>
    <w:p>
      <w:pPr>
        <w:spacing w:before="0"/>
      </w:pPr>
    </w:p>
    <w:p>
      <w:pPr>
        <w:spacing w:line="300" w:lineRule="auto" w:before="140" w:after="0"/>
        <w:ind w:firstLine="560"/>
        <w:jc w:val="left"/>
      </w:pPr>
      <w:r>
        <w:rPr>
          <w:rFonts w:ascii="Times New Roman" w:hAnsi="Times New Roman" w:eastAsia="宋体"/>
          <w:b w:val="0"/>
          <w:color w:val="000000"/>
          <w:sz w:val="28"/>
        </w:rPr>
        <w:t>表 9 与表 10 回答的是"各策略的收益分布长什么样"，它们证明了三件事，也否定了两种常见的读法。</w:t>
      </w:r>
    </w:p>
    <w:p>
      <w:pPr>
        <w:spacing w:line="300" w:lineRule="auto" w:before="140" w:after="0"/>
        <w:ind w:firstLine="560"/>
        <w:jc w:val="left"/>
      </w:pPr>
      <w:r>
        <w:rPr>
          <w:rFonts w:ascii="Times New Roman" w:hAnsi="Times New Roman" w:eastAsia="宋体"/>
          <w:b w:val="0"/>
          <w:color w:val="000000"/>
          <w:sz w:val="28"/>
        </w:rPr>
        <w:t>第一，</w:t>
      </w:r>
      <w:r>
        <w:rPr>
          <w:rFonts w:ascii="Times New Roman" w:hAnsi="Times New Roman" w:eastAsia="宋体"/>
          <w:b/>
          <w:color w:val="000000"/>
          <w:sz w:val="28"/>
        </w:rPr>
        <w:t>平均表现与尾部风险并不同向</w:t>
      </w:r>
      <w:r>
        <w:rPr>
          <w:rFonts w:ascii="Times New Roman" w:hAnsi="Times New Roman" w:eastAsia="宋体"/>
          <w:b w:val="0"/>
          <w:color w:val="000000"/>
          <w:sz w:val="28"/>
        </w:rPr>
        <w:t>。表 10 中最小尾部风险策略的均值（+10.12%）低于风险平衡策略（+10.49%），但其最差单次损失只有 −15.16%、P05 为 −10.26%、下跌概率为 35.5%，三项尾部指标均为最优；而表 9 中均值最高的相对收益策略（+11.77%）最差单次达 −28.11%。"平均收益最高"不能推出"风险最小"，两类目标之间存在实质取舍。</w:t>
      </w:r>
    </w:p>
    <w:p>
      <w:pPr>
        <w:spacing w:line="300" w:lineRule="auto" w:before="140" w:after="0"/>
        <w:ind w:firstLine="560"/>
        <w:jc w:val="left"/>
      </w:pPr>
      <w:r>
        <w:rPr>
          <w:rFonts w:ascii="Times New Roman" w:hAnsi="Times New Roman" w:eastAsia="宋体"/>
          <w:b w:val="0"/>
          <w:color w:val="000000"/>
          <w:sz w:val="28"/>
        </w:rPr>
        <w:t>第二，</w:t>
      </w:r>
      <w:r>
        <w:rPr>
          <w:rFonts w:ascii="Times New Roman" w:hAnsi="Times New Roman" w:eastAsia="宋体"/>
          <w:b/>
          <w:color w:val="000000"/>
          <w:sz w:val="28"/>
        </w:rPr>
        <w:t>季节策略的收益形态是不对称的</w:t>
      </w:r>
      <w:r>
        <w:rPr>
          <w:rFonts w:ascii="Times New Roman" w:hAnsi="Times New Roman" w:eastAsia="宋体"/>
          <w:b w:val="0"/>
          <w:color w:val="000000"/>
          <w:sz w:val="28"/>
        </w:rPr>
        <w:t>。其表 9 均值为 +7.82%，看似不低，但最差单次达 −39.93%，为全部策略中最深，均值优势相当程度上来自"多数时候小赚、偶尔大亏"的形态。</w:t>
      </w:r>
    </w:p>
    <w:p>
      <w:pPr>
        <w:spacing w:line="300" w:lineRule="auto" w:before="140" w:after="0"/>
        <w:ind w:firstLine="560"/>
        <w:jc w:val="left"/>
      </w:pPr>
      <w:r>
        <w:rPr>
          <w:rFonts w:ascii="Times New Roman" w:hAnsi="Times New Roman" w:eastAsia="宋体"/>
          <w:b w:val="0"/>
          <w:color w:val="000000"/>
          <w:sz w:val="28"/>
        </w:rPr>
        <w:t>第三，</w:t>
      </w:r>
      <w:r>
        <w:rPr>
          <w:rFonts w:ascii="Times New Roman" w:hAnsi="Times New Roman" w:eastAsia="宋体"/>
          <w:b/>
          <w:color w:val="000000"/>
          <w:sz w:val="28"/>
        </w:rPr>
        <w:t>不同策略"踩入追高环境"的程度存在系统性差异</w:t>
      </w:r>
      <w:r>
        <w:rPr>
          <w:rFonts w:ascii="Times New Roman" w:hAnsi="Times New Roman" w:eastAsia="宋体"/>
          <w:b w:val="0"/>
          <w:color w:val="000000"/>
          <w:sz w:val="28"/>
        </w:rPr>
        <w:t>。两表最后一列显示：风险平衡策略为 0.0%，最小尾部风险策略为 3.9%—6.5%，追涨策略高达 53.1%—54.8%，而均匀随机选择的期望约为 10%。这一列为后文追高类策略的表现提供机制线索。</w:t>
      </w:r>
    </w:p>
    <w:p>
      <w:pPr>
        <w:spacing w:line="300" w:lineRule="auto" w:before="140" w:after="0"/>
        <w:ind w:firstLine="560"/>
        <w:jc w:val="left"/>
      </w:pPr>
      <w:r>
        <w:rPr>
          <w:rFonts w:ascii="Times New Roman" w:hAnsi="Times New Roman" w:eastAsia="宋体"/>
          <w:b w:val="0"/>
          <w:color w:val="000000"/>
          <w:sz w:val="28"/>
        </w:rPr>
        <w:t>两表也否定两种读法：两表之间的</w:t>
      </w:r>
      <w:r>
        <w:rPr>
          <w:rFonts w:ascii="Times New Roman" w:hAnsi="Times New Roman" w:eastAsia="宋体"/>
          <w:b/>
          <w:color w:val="000000"/>
          <w:sz w:val="28"/>
        </w:rPr>
        <w:t>绝对水平不可直接比较</w:t>
      </w:r>
      <w:r>
        <w:rPr>
          <w:rFonts w:ascii="Times New Roman" w:hAnsi="Times New Roman" w:eastAsia="宋体"/>
          <w:b w:val="0"/>
          <w:color w:val="000000"/>
          <w:sz w:val="28"/>
        </w:rPr>
        <w:t>（切点重叠结构不同），而表内均值差异</w:t>
      </w:r>
      <w:r>
        <w:rPr>
          <w:rFonts w:ascii="Times New Roman" w:hAnsi="Times New Roman" w:eastAsia="宋体"/>
          <w:b/>
          <w:color w:val="000000"/>
          <w:sz w:val="28"/>
        </w:rPr>
        <w:t>不能说明策略优劣</w:t>
      </w:r>
      <w:r>
        <w:rPr>
          <w:rFonts w:ascii="Times New Roman" w:hAnsi="Times New Roman" w:eastAsia="宋体"/>
          <w:b w:val="0"/>
          <w:color w:val="000000"/>
          <w:sz w:val="28"/>
        </w:rPr>
        <w:t>（尚未考虑抽样不确定性），后者由表 11 与表 12 回答。</w:t>
      </w:r>
    </w:p>
    <w:p>
      <w:pPr>
        <w:spacing w:before="120" w:after="40"/>
        <w:jc w:val="center"/>
      </w:pPr>
      <w:r>
        <w:drawing>
          <wp:inline xmlns:a="http://schemas.openxmlformats.org/drawingml/2006/main" xmlns:pic="http://schemas.openxmlformats.org/drawingml/2006/picture">
            <wp:extent cx="5256000" cy="1695484"/>
            <wp:docPr id="4" name="Picture 4"/>
            <wp:cNvGraphicFramePr>
              <a:graphicFrameLocks noChangeAspect="1"/>
            </wp:cNvGraphicFramePr>
            <a:graphic>
              <a:graphicData uri="http://schemas.openxmlformats.org/drawingml/2006/picture">
                <pic:pic>
                  <pic:nvPicPr>
                    <pic:cNvPr id="0" name="F3_high_hri_rate.png"/>
                    <pic:cNvPicPr/>
                  </pic:nvPicPr>
                  <pic:blipFill>
                    <a:blip r:embed="rId14"/>
                    <a:stretch>
                      <a:fillRect/>
                    </a:stretch>
                  </pic:blipFill>
                  <pic:spPr>
                    <a:xfrm>
                      <a:off x="0" y="0"/>
                      <a:ext cx="5256000" cy="1695484"/>
                    </a:xfrm>
                    <a:prstGeom prst="rect"/>
                  </pic:spPr>
                </pic:pic>
              </a:graphicData>
            </a:graphic>
          </wp:inline>
        </w:drawing>
      </w:r>
    </w:p>
    <w:p>
      <w:pPr>
        <w:spacing w:line="240" w:lineRule="auto" w:before="40" w:after="160"/>
        <w:jc w:val="center"/>
      </w:pPr>
      <w:r>
        <w:rPr>
          <w:rFonts w:ascii="Times New Roman" w:hAnsi="Times New Roman" w:eastAsia="宋体"/>
          <w:b/>
          <w:color w:val="000000"/>
          <w:sz w:val="24"/>
        </w:rPr>
        <w:t xml:space="preserve">图 </w:t>
      </w:r>
      <w:r>
        <w:fldChar w:fldCharType="begin"/>
        <w:instrText xml:space="preserve">SEQ 图 \* ARABIC</w:instrText>
        <w:fldChar w:fldCharType="separate"/>
        <w:t>（Word 打开时自动更新）</w:t>
        <w:fldChar w:fldCharType="end"/>
      </w:r>
      <w:r>
        <w:rPr>
          <w:rFonts w:ascii="Times New Roman" w:hAnsi="Times New Roman" w:eastAsia="宋体"/>
          <w:b/>
          <w:color w:val="000000"/>
          <w:sz w:val="24"/>
        </w:rPr>
        <w:t xml:space="preserve">　各策略"踩入追高环境"的程度（均匀随机选择的期望约为 10%）</w:t>
      </w:r>
    </w:p>
    <w:p>
      <w:pPr>
        <w:pStyle w:val="Heading2"/>
        <w:spacing w:line="300" w:lineRule="auto" w:before="200" w:after="80"/>
      </w:pPr>
      <w:r>
        <w:rPr>
          <w:rFonts w:ascii="Times New Roman" w:hAnsi="Times New Roman" w:eastAsia="黑体"/>
          <w:b/>
          <w:color w:val="000000"/>
          <w:sz w:val="28"/>
        </w:rPr>
        <w:t>（二）与均匀随机基准的比较</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策略相对均匀随机基准的超额与显著性（家族 k=9）</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rPr>
          <w:tblHeader w:val="true"/>
        </w:trPr>
        <w:tc>
          <w:tcPr>
            <w:tcW w:type="dxa" w:w="1187"/>
          </w:tcPr>
          <w:p>
            <w:pPr>
              <w:spacing w:line="240" w:lineRule="auto" w:before="20" w:after="20"/>
              <w:jc w:val="center"/>
            </w:pPr>
            <w:r/>
            <w:r>
              <w:rPr>
                <w:rFonts w:ascii="Times New Roman" w:hAnsi="Times New Roman" w:eastAsia="宋体"/>
                <w:b/>
                <w:color w:val="000000"/>
                <w:sz w:val="21"/>
              </w:rPr>
              <w:t>切点</w:t>
            </w:r>
          </w:p>
        </w:tc>
        <w:tc>
          <w:tcPr>
            <w:tcW w:type="dxa" w:w="1187"/>
          </w:tcPr>
          <w:p>
            <w:pPr>
              <w:spacing w:line="240" w:lineRule="auto" w:before="20" w:after="20"/>
              <w:jc w:val="center"/>
            </w:pPr>
            <w:r/>
            <w:r>
              <w:rPr>
                <w:rFonts w:ascii="Times New Roman" w:hAnsi="Times New Roman" w:eastAsia="宋体"/>
                <w:b/>
                <w:color w:val="000000"/>
                <w:sz w:val="21"/>
              </w:rPr>
              <w:t>策略</w:t>
            </w:r>
          </w:p>
        </w:tc>
        <w:tc>
          <w:tcPr>
            <w:tcW w:type="dxa" w:w="1187"/>
          </w:tcPr>
          <w:p>
            <w:pPr>
              <w:spacing w:line="240" w:lineRule="auto" w:before="20" w:after="20"/>
              <w:jc w:val="center"/>
            </w:pPr>
            <w:r/>
            <w:r>
              <w:rPr>
                <w:rFonts w:ascii="Times New Roman" w:hAnsi="Times New Roman" w:eastAsia="宋体"/>
                <w:b/>
                <w:color w:val="000000"/>
                <w:sz w:val="21"/>
              </w:rPr>
              <w:t>超额</w:t>
            </w:r>
          </w:p>
        </w:tc>
        <w:tc>
          <w:tcPr>
            <w:tcW w:type="dxa" w:w="1187"/>
          </w:tcPr>
          <w:p>
            <w:pPr>
              <w:spacing w:line="240" w:lineRule="auto" w:before="20" w:after="20"/>
              <w:jc w:val="center"/>
            </w:pPr>
            <w:r/>
            <w:r>
              <w:rPr>
                <w:rFonts w:ascii="Times New Roman" w:hAnsi="Times New Roman" w:eastAsia="宋体"/>
                <w:b/>
                <w:color w:val="000000"/>
                <w:sz w:val="21"/>
              </w:rPr>
              <w:t>Cohen's d</w:t>
            </w:r>
          </w:p>
        </w:tc>
        <w:tc>
          <w:tcPr>
            <w:tcW w:type="dxa" w:w="1187"/>
          </w:tcPr>
          <w:p>
            <w:pPr>
              <w:spacing w:line="240" w:lineRule="auto" w:before="20" w:after="20"/>
              <w:jc w:val="center"/>
            </w:pPr>
            <w:r/>
            <w:r>
              <w:rPr>
                <w:rFonts w:ascii="Times New Roman" w:hAnsi="Times New Roman" w:eastAsia="宋体"/>
                <w:b/>
                <w:color w:val="000000"/>
                <w:sz w:val="21"/>
              </w:rPr>
              <w:t>95% CI</w:t>
            </w:r>
          </w:p>
        </w:tc>
        <w:tc>
          <w:tcPr>
            <w:tcW w:type="dxa" w:w="1187"/>
          </w:tcPr>
          <w:p>
            <w:pPr>
              <w:spacing w:line="240" w:lineRule="auto" w:before="20" w:after="20"/>
              <w:jc w:val="center"/>
            </w:pPr>
            <w:r/>
            <w:r>
              <w:rPr>
                <w:rFonts w:ascii="Times New Roman" w:hAnsi="Times New Roman" w:eastAsia="宋体"/>
                <w:b/>
                <w:color w:val="000000"/>
                <w:sz w:val="21"/>
              </w:rPr>
              <w:t>保守 Bonferroni</w:t>
            </w:r>
          </w:p>
        </w:tc>
        <w:tc>
          <w:tcPr>
            <w:tcW w:type="dxa" w:w="1187"/>
          </w:tcPr>
          <w:p>
            <w:pPr>
              <w:spacing w:line="240" w:lineRule="auto" w:before="20" w:after="20"/>
              <w:jc w:val="center"/>
            </w:pPr>
            <w:r/>
            <w:r>
              <w:rPr>
                <w:rFonts w:ascii="Times New Roman" w:hAnsi="Times New Roman" w:eastAsia="宋体"/>
                <w:b/>
                <w:color w:val="000000"/>
                <w:sz w:val="21"/>
              </w:rPr>
              <w:t>BH-FDR</w:t>
            </w:r>
          </w:p>
        </w:tc>
      </w:tr>
      <w:tr>
        <w:tc>
          <w:tcPr>
            <w:tcW w:type="dxa" w:w="1187"/>
          </w:tcPr>
          <w:p>
            <w:pPr>
              <w:spacing w:line="240" w:lineRule="auto" w:before="20" w:after="20"/>
              <w:jc w:val="right"/>
            </w:pPr>
            <w:r/>
            <w:r>
              <w:rPr>
                <w:rFonts w:ascii="Times New Roman" w:hAnsi="Times New Roman" w:eastAsia="宋体"/>
                <w:b w:val="0"/>
                <w:color w:val="000000"/>
                <w:sz w:val="21"/>
              </w:rPr>
              <w:t>128</w:t>
            </w:r>
          </w:p>
        </w:tc>
        <w:tc>
          <w:tcPr>
            <w:tcW w:type="dxa" w:w="1187"/>
          </w:tcPr>
          <w:p>
            <w:pPr>
              <w:spacing w:line="240" w:lineRule="auto" w:before="20" w:after="20"/>
              <w:jc w:val="left"/>
            </w:pPr>
            <w:r/>
            <w:r>
              <w:rPr>
                <w:rFonts w:ascii="Times New Roman" w:hAnsi="Times New Roman" w:eastAsia="宋体"/>
                <w:b w:val="0"/>
                <w:color w:val="000000"/>
                <w:sz w:val="21"/>
              </w:rPr>
              <w:t>相对收益策略</w:t>
            </w:r>
          </w:p>
        </w:tc>
        <w:tc>
          <w:tcPr>
            <w:tcW w:type="dxa" w:w="1187"/>
          </w:tcPr>
          <w:p>
            <w:pPr>
              <w:spacing w:line="240" w:lineRule="auto" w:before="20" w:after="20"/>
              <w:jc w:val="right"/>
            </w:pPr>
            <w:r/>
            <w:r>
              <w:rPr>
                <w:rFonts w:ascii="Times New Roman" w:hAnsi="Times New Roman" w:eastAsia="宋体"/>
                <w:b w:val="0"/>
                <w:color w:val="000000"/>
                <w:sz w:val="21"/>
              </w:rPr>
              <w:t>+10.66%</w:t>
            </w:r>
          </w:p>
        </w:tc>
        <w:tc>
          <w:tcPr>
            <w:tcW w:type="dxa" w:w="1187"/>
          </w:tcPr>
          <w:p>
            <w:pPr>
              <w:spacing w:line="240" w:lineRule="auto" w:before="20" w:after="20"/>
              <w:jc w:val="right"/>
            </w:pPr>
            <w:r/>
            <w:r>
              <w:rPr>
                <w:rFonts w:ascii="Times New Roman" w:hAnsi="Times New Roman" w:eastAsia="宋体"/>
                <w:b w:val="0"/>
                <w:color w:val="000000"/>
                <w:sz w:val="21"/>
              </w:rPr>
              <w:t>0.616</w:t>
            </w:r>
          </w:p>
        </w:tc>
        <w:tc>
          <w:tcPr>
            <w:tcW w:type="dxa" w:w="1187"/>
          </w:tcPr>
          <w:p>
            <w:pPr>
              <w:spacing w:line="240" w:lineRule="auto" w:before="20" w:after="20"/>
              <w:jc w:val="left"/>
            </w:pPr>
            <w:r/>
            <w:r>
              <w:rPr>
                <w:rFonts w:ascii="Times New Roman" w:hAnsi="Times New Roman" w:eastAsia="宋体"/>
                <w:b w:val="0"/>
                <w:color w:val="000000"/>
                <w:sz w:val="21"/>
              </w:rPr>
              <w:t>[6.70%, 14.12%]</w:t>
            </w:r>
          </w:p>
        </w:tc>
        <w:tc>
          <w:tcPr>
            <w:tcW w:type="dxa" w:w="1187"/>
          </w:tcPr>
          <w:p>
            <w:pPr>
              <w:spacing w:line="240" w:lineRule="auto" w:before="20" w:after="20"/>
              <w:jc w:val="left"/>
            </w:pPr>
            <w:r/>
            <w:r>
              <w:rPr>
                <w:rFonts w:ascii="Times New Roman" w:hAnsi="Times New Roman" w:eastAsia="宋体"/>
                <w:b w:val="0"/>
                <w:color w:val="000000"/>
                <w:sz w:val="21"/>
              </w:rPr>
              <w:t>✅</w:t>
            </w:r>
          </w:p>
        </w:tc>
        <w:tc>
          <w:tcPr>
            <w:tcW w:type="dxa" w:w="1187"/>
          </w:tcPr>
          <w:p>
            <w:pPr>
              <w:spacing w:line="240" w:lineRule="auto" w:before="20" w:after="20"/>
              <w:jc w:val="left"/>
            </w:pPr>
            <w:r/>
            <w:r>
              <w:rPr>
                <w:rFonts w:ascii="Times New Roman" w:hAnsi="Times New Roman" w:eastAsia="宋体"/>
                <w:b w:val="0"/>
                <w:color w:val="000000"/>
                <w:sz w:val="21"/>
              </w:rPr>
              <w:t>✅</w:t>
            </w:r>
          </w:p>
        </w:tc>
      </w:tr>
      <w:tr>
        <w:tc>
          <w:tcPr>
            <w:tcW w:type="dxa" w:w="1187"/>
          </w:tcPr>
          <w:p>
            <w:pPr>
              <w:spacing w:line="240" w:lineRule="auto" w:before="20" w:after="20"/>
              <w:jc w:val="right"/>
            </w:pPr>
            <w:r/>
            <w:r>
              <w:rPr>
                <w:rFonts w:ascii="Times New Roman" w:hAnsi="Times New Roman" w:eastAsia="宋体"/>
                <w:b w:val="0"/>
                <w:color w:val="000000"/>
                <w:sz w:val="21"/>
              </w:rPr>
              <w:t>128</w:t>
            </w:r>
          </w:p>
        </w:tc>
        <w:tc>
          <w:tcPr>
            <w:tcW w:type="dxa" w:w="1187"/>
          </w:tcPr>
          <w:p>
            <w:pPr>
              <w:spacing w:line="240" w:lineRule="auto" w:before="20" w:after="20"/>
              <w:jc w:val="left"/>
            </w:pPr>
            <w:r/>
            <w:r>
              <w:rPr>
                <w:rFonts w:ascii="Times New Roman" w:hAnsi="Times New Roman" w:eastAsia="宋体"/>
                <w:b w:val="0"/>
                <w:color w:val="000000"/>
                <w:sz w:val="21"/>
              </w:rPr>
              <w:t>最小尾部风险策略</w:t>
            </w:r>
          </w:p>
        </w:tc>
        <w:tc>
          <w:tcPr>
            <w:tcW w:type="dxa" w:w="1187"/>
          </w:tcPr>
          <w:p>
            <w:pPr>
              <w:spacing w:line="240" w:lineRule="auto" w:before="20" w:after="20"/>
              <w:jc w:val="right"/>
            </w:pPr>
            <w:r/>
            <w:r>
              <w:rPr>
                <w:rFonts w:ascii="Times New Roman" w:hAnsi="Times New Roman" w:eastAsia="宋体"/>
                <w:b w:val="0"/>
                <w:color w:val="000000"/>
                <w:sz w:val="21"/>
              </w:rPr>
              <w:t>+9.10%</w:t>
            </w:r>
          </w:p>
        </w:tc>
        <w:tc>
          <w:tcPr>
            <w:tcW w:type="dxa" w:w="1187"/>
          </w:tcPr>
          <w:p>
            <w:pPr>
              <w:spacing w:line="240" w:lineRule="auto" w:before="20" w:after="20"/>
              <w:jc w:val="right"/>
            </w:pPr>
            <w:r/>
            <w:r>
              <w:rPr>
                <w:rFonts w:ascii="Times New Roman" w:hAnsi="Times New Roman" w:eastAsia="宋体"/>
                <w:b w:val="0"/>
                <w:color w:val="000000"/>
                <w:sz w:val="21"/>
              </w:rPr>
              <w:t>0.537</w:t>
            </w:r>
          </w:p>
        </w:tc>
        <w:tc>
          <w:tcPr>
            <w:tcW w:type="dxa" w:w="1187"/>
          </w:tcPr>
          <w:p>
            <w:pPr>
              <w:spacing w:line="240" w:lineRule="auto" w:before="20" w:after="20"/>
              <w:jc w:val="left"/>
            </w:pPr>
            <w:r/>
            <w:r>
              <w:rPr>
                <w:rFonts w:ascii="Times New Roman" w:hAnsi="Times New Roman" w:eastAsia="宋体"/>
                <w:b w:val="0"/>
                <w:color w:val="000000"/>
                <w:sz w:val="21"/>
              </w:rPr>
              <w:t>[4.38%, 13.24%]</w:t>
            </w:r>
          </w:p>
        </w:tc>
        <w:tc>
          <w:tcPr>
            <w:tcW w:type="dxa" w:w="1187"/>
          </w:tcPr>
          <w:p>
            <w:pPr>
              <w:spacing w:line="240" w:lineRule="auto" w:before="20" w:after="20"/>
              <w:jc w:val="left"/>
            </w:pPr>
            <w:r/>
            <w:r>
              <w:rPr>
                <w:rFonts w:ascii="Times New Roman" w:hAnsi="Times New Roman" w:eastAsia="宋体"/>
                <w:b w:val="0"/>
                <w:color w:val="000000"/>
                <w:sz w:val="21"/>
              </w:rPr>
              <w:t>✅</w:t>
            </w:r>
          </w:p>
        </w:tc>
        <w:tc>
          <w:tcPr>
            <w:tcW w:type="dxa" w:w="1187"/>
          </w:tcPr>
          <w:p>
            <w:pPr>
              <w:spacing w:line="240" w:lineRule="auto" w:before="20" w:after="20"/>
              <w:jc w:val="left"/>
            </w:pPr>
            <w:r/>
            <w:r>
              <w:rPr>
                <w:rFonts w:ascii="Times New Roman" w:hAnsi="Times New Roman" w:eastAsia="宋体"/>
                <w:b w:val="0"/>
                <w:color w:val="000000"/>
                <w:sz w:val="21"/>
              </w:rPr>
              <w:t>✅</w:t>
            </w:r>
          </w:p>
        </w:tc>
      </w:tr>
      <w:tr>
        <w:tc>
          <w:tcPr>
            <w:tcW w:type="dxa" w:w="1187"/>
          </w:tcPr>
          <w:p>
            <w:pPr>
              <w:spacing w:line="240" w:lineRule="auto" w:before="20" w:after="20"/>
              <w:jc w:val="right"/>
            </w:pPr>
            <w:r/>
            <w:r>
              <w:rPr>
                <w:rFonts w:ascii="Times New Roman" w:hAnsi="Times New Roman" w:eastAsia="宋体"/>
                <w:b w:val="0"/>
                <w:color w:val="000000"/>
                <w:sz w:val="21"/>
              </w:rPr>
              <w:t>128</w:t>
            </w:r>
          </w:p>
        </w:tc>
        <w:tc>
          <w:tcPr>
            <w:tcW w:type="dxa" w:w="1187"/>
          </w:tcPr>
          <w:p>
            <w:pPr>
              <w:spacing w:line="240" w:lineRule="auto" w:before="20" w:after="20"/>
              <w:jc w:val="left"/>
            </w:pPr>
            <w:r/>
            <w:r>
              <w:rPr>
                <w:rFonts w:ascii="Times New Roman" w:hAnsi="Times New Roman" w:eastAsia="宋体"/>
                <w:b w:val="0"/>
                <w:color w:val="000000"/>
                <w:sz w:val="21"/>
              </w:rPr>
              <w:t>风险平衡策略</w:t>
            </w:r>
          </w:p>
        </w:tc>
        <w:tc>
          <w:tcPr>
            <w:tcW w:type="dxa" w:w="1187"/>
          </w:tcPr>
          <w:p>
            <w:pPr>
              <w:spacing w:line="240" w:lineRule="auto" w:before="20" w:after="20"/>
              <w:jc w:val="right"/>
            </w:pPr>
            <w:r/>
            <w:r>
              <w:rPr>
                <w:rFonts w:ascii="Times New Roman" w:hAnsi="Times New Roman" w:eastAsia="宋体"/>
                <w:b w:val="0"/>
                <w:color w:val="000000"/>
                <w:sz w:val="21"/>
              </w:rPr>
              <w:t>+8.88%</w:t>
            </w:r>
          </w:p>
        </w:tc>
        <w:tc>
          <w:tcPr>
            <w:tcW w:type="dxa" w:w="1187"/>
          </w:tcPr>
          <w:p>
            <w:pPr>
              <w:spacing w:line="240" w:lineRule="auto" w:before="20" w:after="20"/>
              <w:jc w:val="right"/>
            </w:pPr>
            <w:r/>
            <w:r>
              <w:rPr>
                <w:rFonts w:ascii="Times New Roman" w:hAnsi="Times New Roman" w:eastAsia="宋体"/>
                <w:b w:val="0"/>
                <w:color w:val="000000"/>
                <w:sz w:val="21"/>
              </w:rPr>
              <w:t>0.536</w:t>
            </w:r>
          </w:p>
        </w:tc>
        <w:tc>
          <w:tcPr>
            <w:tcW w:type="dxa" w:w="1187"/>
          </w:tcPr>
          <w:p>
            <w:pPr>
              <w:spacing w:line="240" w:lineRule="auto" w:before="20" w:after="20"/>
              <w:jc w:val="left"/>
            </w:pPr>
            <w:r/>
            <w:r>
              <w:rPr>
                <w:rFonts w:ascii="Times New Roman" w:hAnsi="Times New Roman" w:eastAsia="宋体"/>
                <w:b w:val="0"/>
                <w:color w:val="000000"/>
                <w:sz w:val="21"/>
              </w:rPr>
              <w:t>[5.34%, 12.11%]</w:t>
            </w:r>
          </w:p>
        </w:tc>
        <w:tc>
          <w:tcPr>
            <w:tcW w:type="dxa" w:w="1187"/>
          </w:tcPr>
          <w:p>
            <w:pPr>
              <w:spacing w:line="240" w:lineRule="auto" w:before="20" w:after="20"/>
              <w:jc w:val="left"/>
            </w:pPr>
            <w:r/>
            <w:r>
              <w:rPr>
                <w:rFonts w:ascii="Times New Roman" w:hAnsi="Times New Roman" w:eastAsia="宋体"/>
                <w:b w:val="0"/>
                <w:color w:val="000000"/>
                <w:sz w:val="21"/>
              </w:rPr>
              <w:t>✅</w:t>
            </w:r>
          </w:p>
        </w:tc>
        <w:tc>
          <w:tcPr>
            <w:tcW w:type="dxa" w:w="1187"/>
          </w:tcPr>
          <w:p>
            <w:pPr>
              <w:spacing w:line="240" w:lineRule="auto" w:before="20" w:after="20"/>
              <w:jc w:val="left"/>
            </w:pPr>
            <w:r/>
            <w:r>
              <w:rPr>
                <w:rFonts w:ascii="Times New Roman" w:hAnsi="Times New Roman" w:eastAsia="宋体"/>
                <w:b w:val="0"/>
                <w:color w:val="000000"/>
                <w:sz w:val="21"/>
              </w:rPr>
              <w:t>✅</w:t>
            </w:r>
          </w:p>
        </w:tc>
      </w:tr>
      <w:tr>
        <w:tc>
          <w:tcPr>
            <w:tcW w:type="dxa" w:w="1187"/>
          </w:tcPr>
          <w:p>
            <w:pPr>
              <w:spacing w:line="240" w:lineRule="auto" w:before="20" w:after="20"/>
              <w:jc w:val="right"/>
            </w:pPr>
            <w:r/>
            <w:r>
              <w:rPr>
                <w:rFonts w:ascii="Times New Roman" w:hAnsi="Times New Roman" w:eastAsia="宋体"/>
                <w:b w:val="0"/>
                <w:color w:val="000000"/>
                <w:sz w:val="21"/>
              </w:rPr>
              <w:t>128</w:t>
            </w:r>
          </w:p>
        </w:tc>
        <w:tc>
          <w:tcPr>
            <w:tcW w:type="dxa" w:w="1187"/>
          </w:tcPr>
          <w:p>
            <w:pPr>
              <w:spacing w:line="240" w:lineRule="auto" w:before="20" w:after="20"/>
              <w:jc w:val="left"/>
            </w:pPr>
            <w:r/>
            <w:r>
              <w:rPr>
                <w:rFonts w:ascii="Times New Roman" w:hAnsi="Times New Roman" w:eastAsia="宋体"/>
                <w:b w:val="0"/>
                <w:color w:val="000000"/>
                <w:sz w:val="21"/>
              </w:rPr>
              <w:t>季节策略</w:t>
            </w:r>
          </w:p>
        </w:tc>
        <w:tc>
          <w:tcPr>
            <w:tcW w:type="dxa" w:w="1187"/>
          </w:tcPr>
          <w:p>
            <w:pPr>
              <w:spacing w:line="240" w:lineRule="auto" w:before="20" w:after="20"/>
              <w:jc w:val="right"/>
            </w:pPr>
            <w:r/>
            <w:r>
              <w:rPr>
                <w:rFonts w:ascii="Times New Roman" w:hAnsi="Times New Roman" w:eastAsia="宋体"/>
                <w:b w:val="0"/>
                <w:color w:val="000000"/>
                <w:sz w:val="21"/>
              </w:rPr>
              <w:t>+6.71%</w:t>
            </w:r>
          </w:p>
        </w:tc>
        <w:tc>
          <w:tcPr>
            <w:tcW w:type="dxa" w:w="1187"/>
          </w:tcPr>
          <w:p>
            <w:pPr>
              <w:spacing w:line="240" w:lineRule="auto" w:before="20" w:after="20"/>
              <w:jc w:val="right"/>
            </w:pPr>
            <w:r/>
            <w:r>
              <w:rPr>
                <w:rFonts w:ascii="Times New Roman" w:hAnsi="Times New Roman" w:eastAsia="宋体"/>
                <w:b w:val="0"/>
                <w:color w:val="000000"/>
                <w:sz w:val="21"/>
              </w:rPr>
              <w:t>0.492</w:t>
            </w:r>
          </w:p>
        </w:tc>
        <w:tc>
          <w:tcPr>
            <w:tcW w:type="dxa" w:w="1187"/>
          </w:tcPr>
          <w:p>
            <w:pPr>
              <w:spacing w:line="240" w:lineRule="auto" w:before="20" w:after="20"/>
              <w:jc w:val="left"/>
            </w:pPr>
            <w:r/>
            <w:r>
              <w:rPr>
                <w:rFonts w:ascii="Times New Roman" w:hAnsi="Times New Roman" w:eastAsia="宋体"/>
                <w:b w:val="0"/>
                <w:color w:val="000000"/>
                <w:sz w:val="21"/>
              </w:rPr>
              <w:t>[3.75%, 9.47%]</w:t>
            </w:r>
          </w:p>
        </w:tc>
        <w:tc>
          <w:tcPr>
            <w:tcW w:type="dxa" w:w="1187"/>
          </w:tcPr>
          <w:p>
            <w:pPr>
              <w:spacing w:line="240" w:lineRule="auto" w:before="20" w:after="20"/>
              <w:jc w:val="left"/>
            </w:pPr>
            <w:r/>
            <w:r>
              <w:rPr>
                <w:rFonts w:ascii="Times New Roman" w:hAnsi="Times New Roman" w:eastAsia="宋体"/>
                <w:b w:val="0"/>
                <w:color w:val="000000"/>
                <w:sz w:val="21"/>
              </w:rPr>
              <w:t>✅</w:t>
            </w:r>
          </w:p>
        </w:tc>
        <w:tc>
          <w:tcPr>
            <w:tcW w:type="dxa" w:w="1187"/>
          </w:tcPr>
          <w:p>
            <w:pPr>
              <w:spacing w:line="240" w:lineRule="auto" w:before="20" w:after="20"/>
              <w:jc w:val="left"/>
            </w:pPr>
            <w:r/>
            <w:r>
              <w:rPr>
                <w:rFonts w:ascii="Times New Roman" w:hAnsi="Times New Roman" w:eastAsia="宋体"/>
                <w:b w:val="0"/>
                <w:color w:val="000000"/>
                <w:sz w:val="21"/>
              </w:rPr>
              <w:t>✅</w:t>
            </w:r>
          </w:p>
        </w:tc>
      </w:tr>
      <w:tr>
        <w:tc>
          <w:tcPr>
            <w:tcW w:type="dxa" w:w="1187"/>
          </w:tcPr>
          <w:p>
            <w:pPr>
              <w:spacing w:line="240" w:lineRule="auto" w:before="20" w:after="20"/>
              <w:jc w:val="right"/>
            </w:pPr>
            <w:r/>
            <w:r>
              <w:rPr>
                <w:rFonts w:ascii="Times New Roman" w:hAnsi="Times New Roman" w:eastAsia="宋体"/>
                <w:b w:val="0"/>
                <w:color w:val="000000"/>
                <w:sz w:val="21"/>
              </w:rPr>
              <w:t>128</w:t>
            </w:r>
          </w:p>
        </w:tc>
        <w:tc>
          <w:tcPr>
            <w:tcW w:type="dxa" w:w="1187"/>
          </w:tcPr>
          <w:p>
            <w:pPr>
              <w:spacing w:line="240" w:lineRule="auto" w:before="20" w:after="20"/>
              <w:jc w:val="left"/>
            </w:pPr>
            <w:r/>
            <w:r>
              <w:rPr>
                <w:rFonts w:ascii="Times New Roman" w:hAnsi="Times New Roman" w:eastAsia="宋体"/>
                <w:b w:val="0"/>
                <w:color w:val="000000"/>
                <w:sz w:val="21"/>
              </w:rPr>
              <w:t>低风险策略</w:t>
            </w:r>
          </w:p>
        </w:tc>
        <w:tc>
          <w:tcPr>
            <w:tcW w:type="dxa" w:w="1187"/>
          </w:tcPr>
          <w:p>
            <w:pPr>
              <w:spacing w:line="240" w:lineRule="auto" w:before="20" w:after="20"/>
              <w:jc w:val="right"/>
            </w:pPr>
            <w:r/>
            <w:r>
              <w:rPr>
                <w:rFonts w:ascii="Times New Roman" w:hAnsi="Times New Roman" w:eastAsia="宋体"/>
                <w:b w:val="0"/>
                <w:color w:val="000000"/>
                <w:sz w:val="21"/>
              </w:rPr>
              <w:t>+2.74%</w:t>
            </w:r>
          </w:p>
        </w:tc>
        <w:tc>
          <w:tcPr>
            <w:tcW w:type="dxa" w:w="1187"/>
          </w:tcPr>
          <w:p>
            <w:pPr>
              <w:spacing w:line="240" w:lineRule="auto" w:before="20" w:after="20"/>
              <w:jc w:val="right"/>
            </w:pPr>
            <w:r/>
            <w:r>
              <w:rPr>
                <w:rFonts w:ascii="Times New Roman" w:hAnsi="Times New Roman" w:eastAsia="宋体"/>
                <w:b w:val="0"/>
                <w:color w:val="000000"/>
                <w:sz w:val="21"/>
              </w:rPr>
              <w:t>0.206</w:t>
            </w:r>
          </w:p>
        </w:tc>
        <w:tc>
          <w:tcPr>
            <w:tcW w:type="dxa" w:w="1187"/>
          </w:tcPr>
          <w:p>
            <w:pPr>
              <w:spacing w:line="240" w:lineRule="auto" w:before="20" w:after="20"/>
              <w:jc w:val="left"/>
            </w:pPr>
            <w:r/>
            <w:r>
              <w:rPr>
                <w:rFonts w:ascii="Times New Roman" w:hAnsi="Times New Roman" w:eastAsia="宋体"/>
                <w:b w:val="0"/>
                <w:color w:val="000000"/>
                <w:sz w:val="21"/>
              </w:rPr>
              <w:t>[−0.10%, 5.28%]</w:t>
            </w:r>
          </w:p>
        </w:tc>
        <w:tc>
          <w:tcPr>
            <w:tcW w:type="dxa" w:w="1187"/>
          </w:tcPr>
          <w:p>
            <w:pPr>
              <w:spacing w:line="240" w:lineRule="auto" w:before="20" w:after="20"/>
              <w:jc w:val="left"/>
            </w:pPr>
            <w:r/>
            <w:r>
              <w:rPr>
                <w:rFonts w:ascii="Times New Roman" w:hAnsi="Times New Roman" w:eastAsia="宋体"/>
                <w:b w:val="0"/>
                <w:color w:val="000000"/>
                <w:sz w:val="21"/>
              </w:rPr>
              <w:t>❌</w:t>
            </w:r>
          </w:p>
        </w:tc>
        <w:tc>
          <w:tcPr>
            <w:tcW w:type="dxa" w:w="1187"/>
          </w:tcPr>
          <w:p>
            <w:pPr>
              <w:spacing w:line="240" w:lineRule="auto" w:before="20" w:after="20"/>
              <w:jc w:val="left"/>
            </w:pPr>
            <w:r/>
            <w:r>
              <w:rPr>
                <w:rFonts w:ascii="Times New Roman" w:hAnsi="Times New Roman" w:eastAsia="宋体"/>
                <w:b w:val="0"/>
                <w:color w:val="000000"/>
                <w:sz w:val="21"/>
              </w:rPr>
              <w:t>❌</w:t>
            </w:r>
          </w:p>
        </w:tc>
      </w:tr>
      <w:tr>
        <w:tc>
          <w:tcPr>
            <w:tcW w:type="dxa" w:w="1187"/>
          </w:tcPr>
          <w:p>
            <w:pPr>
              <w:spacing w:line="240" w:lineRule="auto" w:before="20" w:after="20"/>
              <w:jc w:val="right"/>
            </w:pPr>
            <w:r/>
            <w:r>
              <w:rPr>
                <w:rFonts w:ascii="Times New Roman" w:hAnsi="Times New Roman" w:eastAsia="宋体"/>
                <w:b w:val="0"/>
                <w:color w:val="000000"/>
                <w:sz w:val="21"/>
              </w:rPr>
              <w:t>128</w:t>
            </w:r>
          </w:p>
        </w:tc>
        <w:tc>
          <w:tcPr>
            <w:tcW w:type="dxa" w:w="1187"/>
          </w:tcPr>
          <w:p>
            <w:pPr>
              <w:spacing w:line="240" w:lineRule="auto" w:before="20" w:after="20"/>
              <w:jc w:val="left"/>
            </w:pPr>
            <w:r/>
            <w:r>
              <w:rPr>
                <w:rFonts w:ascii="Times New Roman" w:hAnsi="Times New Roman" w:eastAsia="宋体"/>
                <w:b w:val="0"/>
                <w:color w:val="000000"/>
                <w:sz w:val="21"/>
              </w:rPr>
              <w:t>最高价策略</w:t>
            </w:r>
          </w:p>
        </w:tc>
        <w:tc>
          <w:tcPr>
            <w:tcW w:type="dxa" w:w="1187"/>
          </w:tcPr>
          <w:p>
            <w:pPr>
              <w:spacing w:line="240" w:lineRule="auto" w:before="20" w:after="20"/>
              <w:jc w:val="right"/>
            </w:pPr>
            <w:r/>
            <w:r>
              <w:rPr>
                <w:rFonts w:ascii="Times New Roman" w:hAnsi="Times New Roman" w:eastAsia="宋体"/>
                <w:b w:val="0"/>
                <w:color w:val="000000"/>
                <w:sz w:val="21"/>
              </w:rPr>
              <w:t>−3.28%</w:t>
            </w:r>
          </w:p>
        </w:tc>
        <w:tc>
          <w:tcPr>
            <w:tcW w:type="dxa" w:w="1187"/>
          </w:tcPr>
          <w:p>
            <w:pPr>
              <w:spacing w:line="240" w:lineRule="auto" w:before="20" w:after="20"/>
              <w:jc w:val="right"/>
            </w:pPr>
            <w:r/>
            <w:r>
              <w:rPr>
                <w:rFonts w:ascii="Times New Roman" w:hAnsi="Times New Roman" w:eastAsia="宋体"/>
                <w:b w:val="0"/>
                <w:color w:val="000000"/>
                <w:sz w:val="21"/>
              </w:rPr>
              <w:t>−0.277</w:t>
            </w:r>
          </w:p>
        </w:tc>
        <w:tc>
          <w:tcPr>
            <w:tcW w:type="dxa" w:w="1187"/>
          </w:tcPr>
          <w:p>
            <w:pPr>
              <w:spacing w:line="240" w:lineRule="auto" w:before="20" w:after="20"/>
              <w:jc w:val="left"/>
            </w:pPr>
            <w:r/>
            <w:r>
              <w:rPr>
                <w:rFonts w:ascii="Times New Roman" w:hAnsi="Times New Roman" w:eastAsia="宋体"/>
                <w:b w:val="0"/>
                <w:color w:val="000000"/>
                <w:sz w:val="21"/>
              </w:rPr>
              <w:t>[−5.84%, −0.60%]</w:t>
            </w:r>
          </w:p>
        </w:tc>
        <w:tc>
          <w:tcPr>
            <w:tcW w:type="dxa" w:w="1187"/>
          </w:tcPr>
          <w:p>
            <w:pPr>
              <w:spacing w:line="240" w:lineRule="auto" w:before="20" w:after="20"/>
              <w:jc w:val="left"/>
            </w:pPr>
            <w:r/>
            <w:r>
              <w:rPr>
                <w:rFonts w:ascii="Times New Roman" w:hAnsi="Times New Roman" w:eastAsia="宋体"/>
                <w:b w:val="0"/>
                <w:color w:val="000000"/>
                <w:sz w:val="21"/>
              </w:rPr>
              <w:t>❌</w:t>
            </w:r>
          </w:p>
        </w:tc>
        <w:tc>
          <w:tcPr>
            <w:tcW w:type="dxa" w:w="1187"/>
          </w:tcPr>
          <w:p>
            <w:pPr>
              <w:spacing w:line="240" w:lineRule="auto" w:before="20" w:after="20"/>
              <w:jc w:val="left"/>
            </w:pPr>
            <w:r/>
            <w:r>
              <w:rPr>
                <w:rFonts w:ascii="Times New Roman" w:hAnsi="Times New Roman" w:eastAsia="宋体"/>
                <w:b w:val="0"/>
                <w:color w:val="000000"/>
                <w:sz w:val="21"/>
              </w:rPr>
              <w:t>✅（负向）</w:t>
            </w:r>
          </w:p>
        </w:tc>
      </w:tr>
      <w:tr>
        <w:tc>
          <w:tcPr>
            <w:tcW w:type="dxa" w:w="1187"/>
          </w:tcPr>
          <w:p>
            <w:pPr>
              <w:spacing w:line="240" w:lineRule="auto" w:before="20" w:after="20"/>
              <w:jc w:val="right"/>
            </w:pPr>
            <w:r/>
            <w:r>
              <w:rPr>
                <w:rFonts w:ascii="Times New Roman" w:hAnsi="Times New Roman" w:eastAsia="宋体"/>
                <w:b w:val="0"/>
                <w:color w:val="000000"/>
                <w:sz w:val="21"/>
              </w:rPr>
              <w:t>128</w:t>
            </w:r>
          </w:p>
        </w:tc>
        <w:tc>
          <w:tcPr>
            <w:tcW w:type="dxa" w:w="1187"/>
          </w:tcPr>
          <w:p>
            <w:pPr>
              <w:spacing w:line="240" w:lineRule="auto" w:before="20" w:after="20"/>
              <w:jc w:val="left"/>
            </w:pPr>
            <w:r/>
            <w:r>
              <w:rPr>
                <w:rFonts w:ascii="Times New Roman" w:hAnsi="Times New Roman" w:eastAsia="宋体"/>
                <w:b w:val="0"/>
                <w:color w:val="000000"/>
                <w:sz w:val="21"/>
              </w:rPr>
              <w:t>追涨策略</w:t>
            </w:r>
          </w:p>
        </w:tc>
        <w:tc>
          <w:tcPr>
            <w:tcW w:type="dxa" w:w="1187"/>
          </w:tcPr>
          <w:p>
            <w:pPr>
              <w:spacing w:line="240" w:lineRule="auto" w:before="20" w:after="20"/>
              <w:jc w:val="right"/>
            </w:pPr>
            <w:r/>
            <w:r>
              <w:rPr>
                <w:rFonts w:ascii="Times New Roman" w:hAnsi="Times New Roman" w:eastAsia="宋体"/>
                <w:b w:val="0"/>
                <w:color w:val="000000"/>
                <w:sz w:val="21"/>
              </w:rPr>
              <w:t>−1.47%</w:t>
            </w:r>
          </w:p>
        </w:tc>
        <w:tc>
          <w:tcPr>
            <w:tcW w:type="dxa" w:w="1187"/>
          </w:tcPr>
          <w:p>
            <w:pPr>
              <w:spacing w:line="240" w:lineRule="auto" w:before="20" w:after="20"/>
              <w:jc w:val="right"/>
            </w:pPr>
            <w:r/>
            <w:r>
              <w:rPr>
                <w:rFonts w:ascii="Times New Roman" w:hAnsi="Times New Roman" w:eastAsia="宋体"/>
                <w:b w:val="0"/>
                <w:color w:val="000000"/>
                <w:sz w:val="21"/>
              </w:rPr>
              <w:t>−0.107</w:t>
            </w:r>
          </w:p>
        </w:tc>
        <w:tc>
          <w:tcPr>
            <w:tcW w:type="dxa" w:w="1187"/>
          </w:tcPr>
          <w:p>
            <w:pPr>
              <w:spacing w:line="240" w:lineRule="auto" w:before="20" w:after="20"/>
              <w:jc w:val="left"/>
            </w:pPr>
            <w:r/>
            <w:r>
              <w:rPr>
                <w:rFonts w:ascii="Times New Roman" w:hAnsi="Times New Roman" w:eastAsia="宋体"/>
                <w:b w:val="0"/>
                <w:color w:val="000000"/>
                <w:sz w:val="21"/>
              </w:rPr>
              <w:t>[−4.36%, 1.34%]</w:t>
            </w:r>
          </w:p>
        </w:tc>
        <w:tc>
          <w:tcPr>
            <w:tcW w:type="dxa" w:w="1187"/>
          </w:tcPr>
          <w:p>
            <w:pPr>
              <w:spacing w:line="240" w:lineRule="auto" w:before="20" w:after="20"/>
              <w:jc w:val="left"/>
            </w:pPr>
            <w:r/>
            <w:r>
              <w:rPr>
                <w:rFonts w:ascii="Times New Roman" w:hAnsi="Times New Roman" w:eastAsia="宋体"/>
                <w:b w:val="0"/>
                <w:color w:val="000000"/>
                <w:sz w:val="21"/>
              </w:rPr>
              <w:t>❌</w:t>
            </w:r>
          </w:p>
        </w:tc>
        <w:tc>
          <w:tcPr>
            <w:tcW w:type="dxa" w:w="1187"/>
          </w:tcPr>
          <w:p>
            <w:pPr>
              <w:spacing w:line="240" w:lineRule="auto" w:before="20" w:after="20"/>
              <w:jc w:val="left"/>
            </w:pPr>
            <w:r/>
            <w:r>
              <w:rPr>
                <w:rFonts w:ascii="Times New Roman" w:hAnsi="Times New Roman" w:eastAsia="宋体"/>
                <w:b w:val="0"/>
                <w:color w:val="000000"/>
                <w:sz w:val="21"/>
              </w:rPr>
              <w:t>❌</w:t>
            </w:r>
          </w:p>
        </w:tc>
      </w:tr>
      <w:tr>
        <w:tc>
          <w:tcPr>
            <w:tcW w:type="dxa" w:w="1187"/>
          </w:tcPr>
          <w:p>
            <w:pPr>
              <w:spacing w:line="240" w:lineRule="auto" w:before="20" w:after="20"/>
              <w:jc w:val="right"/>
            </w:pPr>
            <w:r/>
            <w:r>
              <w:rPr>
                <w:rFonts w:ascii="Times New Roman" w:hAnsi="Times New Roman" w:eastAsia="宋体"/>
                <w:b w:val="0"/>
                <w:color w:val="000000"/>
                <w:sz w:val="21"/>
              </w:rPr>
              <w:t>31</w:t>
            </w:r>
          </w:p>
        </w:tc>
        <w:tc>
          <w:tcPr>
            <w:tcW w:type="dxa" w:w="1187"/>
          </w:tcPr>
          <w:p>
            <w:pPr>
              <w:spacing w:line="240" w:lineRule="auto" w:before="20" w:after="20"/>
              <w:jc w:val="left"/>
            </w:pPr>
            <w:r/>
            <w:r>
              <w:rPr>
                <w:rFonts w:ascii="Times New Roman" w:hAnsi="Times New Roman" w:eastAsia="宋体"/>
                <w:b w:val="0"/>
                <w:color w:val="000000"/>
                <w:sz w:val="21"/>
              </w:rPr>
              <w:t>风险平衡策略</w:t>
            </w:r>
          </w:p>
        </w:tc>
        <w:tc>
          <w:tcPr>
            <w:tcW w:type="dxa" w:w="1187"/>
          </w:tcPr>
          <w:p>
            <w:pPr>
              <w:spacing w:line="240" w:lineRule="auto" w:before="20" w:after="20"/>
              <w:jc w:val="right"/>
            </w:pPr>
            <w:r/>
            <w:r>
              <w:rPr>
                <w:rFonts w:ascii="Times New Roman" w:hAnsi="Times New Roman" w:eastAsia="宋体"/>
                <w:b w:val="0"/>
                <w:color w:val="000000"/>
                <w:sz w:val="21"/>
              </w:rPr>
              <w:t>+9.57%</w:t>
            </w:r>
          </w:p>
        </w:tc>
        <w:tc>
          <w:tcPr>
            <w:tcW w:type="dxa" w:w="1187"/>
          </w:tcPr>
          <w:p>
            <w:pPr>
              <w:spacing w:line="240" w:lineRule="auto" w:before="20" w:after="20"/>
              <w:jc w:val="right"/>
            </w:pPr>
            <w:r/>
            <w:r>
              <w:rPr>
                <w:rFonts w:ascii="Times New Roman" w:hAnsi="Times New Roman" w:eastAsia="宋体"/>
                <w:b w:val="0"/>
                <w:color w:val="000000"/>
                <w:sz w:val="21"/>
              </w:rPr>
              <w:t>0.480</w:t>
            </w:r>
          </w:p>
        </w:tc>
        <w:tc>
          <w:tcPr>
            <w:tcW w:type="dxa" w:w="1187"/>
          </w:tcPr>
          <w:p>
            <w:pPr>
              <w:spacing w:line="240" w:lineRule="auto" w:before="20" w:after="20"/>
              <w:jc w:val="left"/>
            </w:pPr>
            <w:r/>
            <w:r>
              <w:rPr>
                <w:rFonts w:ascii="Times New Roman" w:hAnsi="Times New Roman" w:eastAsia="宋体"/>
                <w:b w:val="0"/>
                <w:color w:val="000000"/>
                <w:sz w:val="21"/>
              </w:rPr>
              <w:t>[1.88%, 15.49%]</w:t>
            </w:r>
          </w:p>
        </w:tc>
        <w:tc>
          <w:tcPr>
            <w:tcW w:type="dxa" w:w="1187"/>
          </w:tcPr>
          <w:p>
            <w:pPr>
              <w:spacing w:line="240" w:lineRule="auto" w:before="20" w:after="20"/>
              <w:jc w:val="left"/>
            </w:pPr>
            <w:r/>
            <w:r>
              <w:rPr>
                <w:rFonts w:ascii="Times New Roman" w:hAnsi="Times New Roman" w:eastAsia="宋体"/>
                <w:b w:val="0"/>
                <w:color w:val="000000"/>
                <w:sz w:val="21"/>
              </w:rPr>
              <w:t>❌（0.090）</w:t>
            </w:r>
          </w:p>
        </w:tc>
        <w:tc>
          <w:tcPr>
            <w:tcW w:type="dxa" w:w="1187"/>
          </w:tcPr>
          <w:p>
            <w:pPr>
              <w:spacing w:line="240" w:lineRule="auto" w:before="20" w:after="20"/>
              <w:jc w:val="left"/>
            </w:pPr>
            <w:r/>
            <w:r>
              <w:rPr>
                <w:rFonts w:ascii="Times New Roman" w:hAnsi="Times New Roman" w:eastAsia="宋体"/>
                <w:b w:val="0"/>
                <w:color w:val="000000"/>
                <w:sz w:val="21"/>
              </w:rPr>
              <w:t>❌（0.041/0.051）</w:t>
            </w:r>
          </w:p>
        </w:tc>
      </w:tr>
      <w:tr>
        <w:tc>
          <w:tcPr>
            <w:tcW w:type="dxa" w:w="1187"/>
          </w:tcPr>
          <w:p>
            <w:pPr>
              <w:spacing w:line="240" w:lineRule="auto" w:before="20" w:after="20"/>
              <w:jc w:val="right"/>
            </w:pPr>
            <w:r/>
            <w:r>
              <w:rPr>
                <w:rFonts w:ascii="Times New Roman" w:hAnsi="Times New Roman" w:eastAsia="宋体"/>
                <w:b w:val="0"/>
                <w:color w:val="000000"/>
                <w:sz w:val="21"/>
              </w:rPr>
              <w:t>31</w:t>
            </w:r>
          </w:p>
        </w:tc>
        <w:tc>
          <w:tcPr>
            <w:tcW w:type="dxa" w:w="1187"/>
          </w:tcPr>
          <w:p>
            <w:pPr>
              <w:spacing w:line="240" w:lineRule="auto" w:before="20" w:after="20"/>
              <w:jc w:val="left"/>
            </w:pPr>
            <w:r/>
            <w:r>
              <w:rPr>
                <w:rFonts w:ascii="Times New Roman" w:hAnsi="Times New Roman" w:eastAsia="宋体"/>
                <w:b w:val="0"/>
                <w:color w:val="000000"/>
                <w:sz w:val="21"/>
              </w:rPr>
              <w:t>相对收益策略</w:t>
            </w:r>
          </w:p>
        </w:tc>
        <w:tc>
          <w:tcPr>
            <w:tcW w:type="dxa" w:w="1187"/>
          </w:tcPr>
          <w:p>
            <w:pPr>
              <w:spacing w:line="240" w:lineRule="auto" w:before="20" w:after="20"/>
              <w:jc w:val="right"/>
            </w:pPr>
            <w:r/>
            <w:r>
              <w:rPr>
                <w:rFonts w:ascii="Times New Roman" w:hAnsi="Times New Roman" w:eastAsia="宋体"/>
                <w:b w:val="0"/>
                <w:color w:val="000000"/>
                <w:sz w:val="21"/>
              </w:rPr>
              <w:t>+9.32%</w:t>
            </w:r>
          </w:p>
        </w:tc>
        <w:tc>
          <w:tcPr>
            <w:tcW w:type="dxa" w:w="1187"/>
          </w:tcPr>
          <w:p>
            <w:pPr>
              <w:spacing w:line="240" w:lineRule="auto" w:before="20" w:after="20"/>
              <w:jc w:val="right"/>
            </w:pPr>
            <w:r/>
            <w:r>
              <w:rPr>
                <w:rFonts w:ascii="Times New Roman" w:hAnsi="Times New Roman" w:eastAsia="宋体"/>
                <w:b w:val="0"/>
                <w:color w:val="000000"/>
                <w:sz w:val="21"/>
              </w:rPr>
              <w:t>0.452</w:t>
            </w:r>
          </w:p>
        </w:tc>
        <w:tc>
          <w:tcPr>
            <w:tcW w:type="dxa" w:w="1187"/>
          </w:tcPr>
          <w:p>
            <w:pPr>
              <w:spacing w:line="240" w:lineRule="auto" w:before="20" w:after="20"/>
              <w:jc w:val="left"/>
            </w:pPr>
            <w:r/>
            <w:r>
              <w:rPr>
                <w:rFonts w:ascii="Times New Roman" w:hAnsi="Times New Roman" w:eastAsia="宋体"/>
                <w:b w:val="0"/>
                <w:color w:val="000000"/>
                <w:sz w:val="21"/>
              </w:rPr>
              <w:t>[1.30%, 15.52%]</w:t>
            </w:r>
          </w:p>
        </w:tc>
        <w:tc>
          <w:tcPr>
            <w:tcW w:type="dxa" w:w="1187"/>
          </w:tcPr>
          <w:p>
            <w:pPr>
              <w:spacing w:line="240" w:lineRule="auto" w:before="20" w:after="20"/>
              <w:jc w:val="left"/>
            </w:pPr>
            <w:r/>
            <w:r>
              <w:rPr>
                <w:rFonts w:ascii="Times New Roman" w:hAnsi="Times New Roman" w:eastAsia="宋体"/>
                <w:b w:val="0"/>
                <w:color w:val="000000"/>
                <w:sz w:val="21"/>
              </w:rPr>
              <w:t>❌（0.117）</w:t>
            </w:r>
          </w:p>
        </w:tc>
        <w:tc>
          <w:tcPr>
            <w:tcW w:type="dxa" w:w="1187"/>
          </w:tcPr>
          <w:p>
            <w:pPr>
              <w:spacing w:line="240" w:lineRule="auto" w:before="20" w:after="20"/>
              <w:jc w:val="left"/>
            </w:pPr>
            <w:r/>
            <w:r>
              <w:rPr>
                <w:rFonts w:ascii="Times New Roman" w:hAnsi="Times New Roman" w:eastAsia="宋体"/>
                <w:b w:val="0"/>
                <w:color w:val="000000"/>
                <w:sz w:val="21"/>
              </w:rPr>
              <w:t>❌（0.041/0.051）</w:t>
            </w:r>
          </w:p>
        </w:tc>
      </w:tr>
      <w:tr>
        <w:tc>
          <w:tcPr>
            <w:tcW w:type="dxa" w:w="1187"/>
          </w:tcPr>
          <w:p>
            <w:pPr>
              <w:spacing w:line="240" w:lineRule="auto" w:before="20" w:after="20"/>
              <w:jc w:val="right"/>
            </w:pPr>
            <w:r/>
            <w:r>
              <w:rPr>
                <w:rFonts w:ascii="Times New Roman" w:hAnsi="Times New Roman" w:eastAsia="宋体"/>
                <w:b w:val="0"/>
                <w:color w:val="000000"/>
                <w:sz w:val="21"/>
              </w:rPr>
              <w:t>31</w:t>
            </w:r>
          </w:p>
        </w:tc>
        <w:tc>
          <w:tcPr>
            <w:tcW w:type="dxa" w:w="1187"/>
          </w:tcPr>
          <w:p>
            <w:pPr>
              <w:spacing w:line="240" w:lineRule="auto" w:before="20" w:after="20"/>
              <w:jc w:val="left"/>
            </w:pPr>
            <w:r/>
            <w:r>
              <w:rPr>
                <w:rFonts w:ascii="Times New Roman" w:hAnsi="Times New Roman" w:eastAsia="宋体"/>
                <w:b w:val="0"/>
                <w:color w:val="000000"/>
                <w:sz w:val="21"/>
              </w:rPr>
              <w:t>最小尾部风险策略</w:t>
            </w:r>
          </w:p>
        </w:tc>
        <w:tc>
          <w:tcPr>
            <w:tcW w:type="dxa" w:w="1187"/>
          </w:tcPr>
          <w:p>
            <w:pPr>
              <w:spacing w:line="240" w:lineRule="auto" w:before="20" w:after="20"/>
              <w:jc w:val="right"/>
            </w:pPr>
            <w:r/>
            <w:r>
              <w:rPr>
                <w:rFonts w:ascii="Times New Roman" w:hAnsi="Times New Roman" w:eastAsia="宋体"/>
                <w:b w:val="0"/>
                <w:color w:val="000000"/>
                <w:sz w:val="21"/>
              </w:rPr>
              <w:t>+9.20%</w:t>
            </w:r>
          </w:p>
        </w:tc>
        <w:tc>
          <w:tcPr>
            <w:tcW w:type="dxa" w:w="1187"/>
          </w:tcPr>
          <w:p>
            <w:pPr>
              <w:spacing w:line="240" w:lineRule="auto" w:before="20" w:after="20"/>
              <w:jc w:val="right"/>
            </w:pPr>
            <w:r/>
            <w:r>
              <w:rPr>
                <w:rFonts w:ascii="Times New Roman" w:hAnsi="Times New Roman" w:eastAsia="宋体"/>
                <w:b w:val="0"/>
                <w:color w:val="000000"/>
                <w:sz w:val="21"/>
              </w:rPr>
              <w:t>0.473</w:t>
            </w:r>
          </w:p>
        </w:tc>
        <w:tc>
          <w:tcPr>
            <w:tcW w:type="dxa" w:w="1187"/>
          </w:tcPr>
          <w:p>
            <w:pPr>
              <w:spacing w:line="240" w:lineRule="auto" w:before="20" w:after="20"/>
              <w:jc w:val="left"/>
            </w:pPr>
            <w:r/>
            <w:r>
              <w:rPr>
                <w:rFonts w:ascii="Times New Roman" w:hAnsi="Times New Roman" w:eastAsia="宋体"/>
                <w:b w:val="0"/>
                <w:color w:val="000000"/>
                <w:sz w:val="21"/>
              </w:rPr>
              <w:t>[1.73%, 15.14%]</w:t>
            </w:r>
          </w:p>
        </w:tc>
        <w:tc>
          <w:tcPr>
            <w:tcW w:type="dxa" w:w="1187"/>
          </w:tcPr>
          <w:p>
            <w:pPr>
              <w:spacing w:line="240" w:lineRule="auto" w:before="20" w:after="20"/>
              <w:jc w:val="left"/>
            </w:pPr>
            <w:r/>
            <w:r>
              <w:rPr>
                <w:rFonts w:ascii="Times New Roman" w:hAnsi="Times New Roman" w:eastAsia="宋体"/>
                <w:b w:val="0"/>
                <w:color w:val="000000"/>
                <w:sz w:val="21"/>
              </w:rPr>
              <w:t>❌（0.320）</w:t>
            </w:r>
          </w:p>
        </w:tc>
        <w:tc>
          <w:tcPr>
            <w:tcW w:type="dxa" w:w="1187"/>
          </w:tcPr>
          <w:p>
            <w:pPr>
              <w:spacing w:line="240" w:lineRule="auto" w:before="20" w:after="20"/>
              <w:jc w:val="left"/>
            </w:pPr>
            <w:r/>
            <w:r>
              <w:rPr>
                <w:rFonts w:ascii="Times New Roman" w:hAnsi="Times New Roman" w:eastAsia="宋体"/>
                <w:b w:val="0"/>
                <w:color w:val="000000"/>
                <w:sz w:val="21"/>
              </w:rPr>
              <w:t>❌（0.041/0.051）</w:t>
            </w:r>
          </w:p>
        </w:tc>
      </w:tr>
      <w:tr>
        <w:tc>
          <w:tcPr>
            <w:tcW w:type="dxa" w:w="1187"/>
          </w:tcPr>
          <w:p>
            <w:pPr>
              <w:spacing w:line="240" w:lineRule="auto" w:before="20" w:after="20"/>
              <w:jc w:val="right"/>
            </w:pPr>
            <w:r/>
            <w:r>
              <w:rPr>
                <w:rFonts w:ascii="Times New Roman" w:hAnsi="Times New Roman" w:eastAsia="宋体"/>
                <w:b w:val="0"/>
                <w:color w:val="000000"/>
                <w:sz w:val="21"/>
              </w:rPr>
              <w:t>31</w:t>
            </w:r>
          </w:p>
        </w:tc>
        <w:tc>
          <w:tcPr>
            <w:tcW w:type="dxa" w:w="1187"/>
          </w:tcPr>
          <w:p>
            <w:pPr>
              <w:spacing w:line="240" w:lineRule="auto" w:before="20" w:after="20"/>
              <w:jc w:val="left"/>
            </w:pPr>
            <w:r/>
            <w:r>
              <w:rPr>
                <w:rFonts w:ascii="Times New Roman" w:hAnsi="Times New Roman" w:eastAsia="宋体"/>
                <w:b w:val="0"/>
                <w:color w:val="000000"/>
                <w:sz w:val="21"/>
              </w:rPr>
              <w:t>季节策略</w:t>
            </w:r>
          </w:p>
        </w:tc>
        <w:tc>
          <w:tcPr>
            <w:tcW w:type="dxa" w:w="1187"/>
          </w:tcPr>
          <w:p>
            <w:pPr>
              <w:spacing w:line="240" w:lineRule="auto" w:before="20" w:after="20"/>
              <w:jc w:val="right"/>
            </w:pPr>
            <w:r/>
            <w:r>
              <w:rPr>
                <w:rFonts w:ascii="Times New Roman" w:hAnsi="Times New Roman" w:eastAsia="宋体"/>
                <w:b w:val="0"/>
                <w:color w:val="000000"/>
                <w:sz w:val="21"/>
              </w:rPr>
              <w:t>+3.09%</w:t>
            </w:r>
          </w:p>
        </w:tc>
        <w:tc>
          <w:tcPr>
            <w:tcW w:type="dxa" w:w="1187"/>
          </w:tcPr>
          <w:p>
            <w:pPr>
              <w:spacing w:line="240" w:lineRule="auto" w:before="20" w:after="20"/>
              <w:jc w:val="right"/>
            </w:pPr>
            <w:r/>
            <w:r>
              <w:rPr>
                <w:rFonts w:ascii="Times New Roman" w:hAnsi="Times New Roman" w:eastAsia="宋体"/>
                <w:b w:val="0"/>
                <w:color w:val="000000"/>
                <w:sz w:val="21"/>
              </w:rPr>
              <w:t>0.229</w:t>
            </w:r>
          </w:p>
        </w:tc>
        <w:tc>
          <w:tcPr>
            <w:tcW w:type="dxa" w:w="1187"/>
          </w:tcPr>
          <w:p>
            <w:pPr>
              <w:spacing w:line="240" w:lineRule="auto" w:before="20" w:after="20"/>
              <w:jc w:val="left"/>
            </w:pPr>
            <w:r/>
            <w:r>
              <w:rPr>
                <w:rFonts w:ascii="Times New Roman" w:hAnsi="Times New Roman" w:eastAsia="宋体"/>
                <w:b w:val="0"/>
                <w:color w:val="000000"/>
                <w:sz w:val="21"/>
              </w:rPr>
              <w:t>[−1.85%, 7.56%]</w:t>
            </w:r>
          </w:p>
        </w:tc>
        <w:tc>
          <w:tcPr>
            <w:tcW w:type="dxa" w:w="1187"/>
          </w:tcPr>
          <w:p>
            <w:pPr>
              <w:spacing w:line="240" w:lineRule="auto" w:before="20" w:after="20"/>
              <w:jc w:val="left"/>
            </w:pPr>
            <w:r/>
            <w:r>
              <w:rPr>
                <w:rFonts w:ascii="Times New Roman" w:hAnsi="Times New Roman" w:eastAsia="宋体"/>
                <w:b w:val="0"/>
                <w:color w:val="000000"/>
                <w:sz w:val="21"/>
              </w:rPr>
              <w:t>❌</w:t>
            </w:r>
          </w:p>
        </w:tc>
        <w:tc>
          <w:tcPr>
            <w:tcW w:type="dxa" w:w="1187"/>
          </w:tcPr>
          <w:p>
            <w:pPr>
              <w:spacing w:line="240" w:lineRule="auto" w:before="20" w:after="20"/>
              <w:jc w:val="left"/>
            </w:pPr>
            <w:r/>
            <w:r>
              <w:rPr>
                <w:rFonts w:ascii="Times New Roman" w:hAnsi="Times New Roman" w:eastAsia="宋体"/>
                <w:b w:val="0"/>
                <w:color w:val="000000"/>
                <w:sz w:val="21"/>
              </w:rPr>
              <w:t>❌</w:t>
            </w:r>
          </w:p>
        </w:tc>
      </w:tr>
    </w:tbl>
    <w:p>
      <w:pPr>
        <w:spacing w:before="0"/>
      </w:pPr>
    </w:p>
    <w:p>
      <w:pPr>
        <w:spacing w:line="300" w:lineRule="auto" w:before="140" w:after="0"/>
        <w:ind w:firstLine="560"/>
        <w:jc w:val="left"/>
      </w:pPr>
      <w:r>
        <w:rPr>
          <w:rFonts w:ascii="Times New Roman" w:hAnsi="Times New Roman" w:eastAsia="宋体"/>
          <w:b w:val="0"/>
          <w:color w:val="000000"/>
          <w:sz w:val="28"/>
        </w:rPr>
        <w:t>表 11 支持一个结论：在 128 个 7 天切点上，四个正向策略经保守多重比较校正后仍显著优于随机基准，超额为 +6.71%—+10.66%，效应量在 0.49—0.62 之间。同时它也不支持一个推论：</w:t>
      </w:r>
      <w:r>
        <w:rPr>
          <w:rFonts w:ascii="Times New Roman" w:hAnsi="Times New Roman" w:eastAsia="宋体"/>
          <w:b/>
          <w:color w:val="000000"/>
          <w:sz w:val="28"/>
        </w:rPr>
        <w:t>这一优势在不重叠切点上不成立</w:t>
      </w:r>
      <w:r>
        <w:rPr>
          <w:rFonts w:ascii="Times New Roman" w:hAnsi="Times New Roman" w:eastAsia="宋体"/>
          <w:b w:val="0"/>
          <w:color w:val="000000"/>
          <w:sz w:val="28"/>
        </w:rPr>
        <w:t>——31 个切点上没有任何策略通过保守校正，季节策略也不例外。</w:t>
      </w:r>
    </w:p>
    <w:p>
      <w:pPr>
        <w:spacing w:line="300" w:lineRule="auto" w:before="140" w:after="0"/>
        <w:ind w:firstLine="560"/>
        <w:jc w:val="left"/>
      </w:pPr>
      <w:r>
        <w:rPr>
          <w:rFonts w:ascii="Times New Roman" w:hAnsi="Times New Roman" w:eastAsia="宋体"/>
          <w:b w:val="0"/>
          <w:color w:val="000000"/>
          <w:sz w:val="28"/>
        </w:rPr>
        <w:t>对这一落差，至少有三种解释可以并列考虑，其中第一种有直接证据，后两种属于推测。</w:t>
      </w:r>
    </w:p>
    <w:p>
      <w:pPr>
        <w:spacing w:line="300" w:lineRule="auto" w:before="140" w:after="0"/>
        <w:ind w:firstLine="560"/>
        <w:jc w:val="left"/>
      </w:pPr>
      <w:r>
        <w:rPr>
          <w:rFonts w:ascii="Times New Roman" w:hAnsi="Times New Roman" w:eastAsia="宋体"/>
          <w:b w:val="0"/>
          <w:color w:val="000000"/>
          <w:sz w:val="28"/>
        </w:rPr>
        <w:t>其一，重叠结构会放大有效样本量。7 天步长下相邻切点的未来 30 天窗口约 4 重叠加权，本文虽已用块 Bootstrap 与 HAC 部分校正，但信息重复难以完全消除，因此 128 切点的标准误可能偏小。这一解释有直接证据：同一批策略在两种口径下的点估计接近，而标准误显著不同。</w:t>
      </w:r>
    </w:p>
    <w:p>
      <w:pPr>
        <w:spacing w:line="300" w:lineRule="auto" w:before="140" w:after="0"/>
        <w:ind w:firstLine="560"/>
        <w:jc w:val="left"/>
      </w:pPr>
      <w:r>
        <w:rPr>
          <w:rFonts w:ascii="Times New Roman" w:hAnsi="Times New Roman" w:eastAsia="宋体"/>
          <w:b w:val="0"/>
          <w:color w:val="000000"/>
          <w:sz w:val="28"/>
        </w:rPr>
        <w:t>其二（推测），候选池只有十个品种，策略锁定某些品种后，收益差异中有一部分来自品种层面的暴露而非策略规则本身；不重叠口径下样本少，这类暴露的偶然性更难被平均掉。本文没有对品种暴露做分解，因此只作为可能的解释列出。</w:t>
      </w:r>
    </w:p>
    <w:p>
      <w:pPr>
        <w:spacing w:line="300" w:lineRule="auto" w:before="140" w:after="0"/>
        <w:ind w:firstLine="560"/>
        <w:jc w:val="left"/>
      </w:pPr>
      <w:r>
        <w:rPr>
          <w:rFonts w:ascii="Times New Roman" w:hAnsi="Times New Roman" w:eastAsia="宋体"/>
          <w:b w:val="0"/>
          <w:color w:val="000000"/>
          <w:sz w:val="28"/>
        </w:rPr>
        <w:t>其三，两种口径实际上回答的是不同问题：128 切点回答"在这段历史上策略的平均选择是否更好"，31 切点回答"在独立时点上是否更好"。后者对结论的要求更高。本文以不重叠口径作为更严标准，正是基于这一判断。</w:t>
      </w:r>
    </w:p>
    <w:p>
      <w:pPr>
        <w:spacing w:line="300" w:lineRule="auto" w:before="140" w:after="0"/>
        <w:ind w:firstLine="560"/>
        <w:jc w:val="left"/>
      </w:pPr>
      <w:r>
        <w:rPr>
          <w:rFonts w:ascii="Times New Roman" w:hAnsi="Times New Roman" w:eastAsia="宋体"/>
          <w:b w:val="0"/>
          <w:color w:val="000000"/>
          <w:sz w:val="28"/>
        </w:rPr>
        <w:t>还有一点必须结合表 11 说明：这些策略使用的是第四（六）节所述的回顾性筛选模型，因此表 11 中的超额估计同样继承模型选择偏差。</w:t>
      </w:r>
      <w:r>
        <w:rPr>
          <w:rFonts w:ascii="Times New Roman" w:hAnsi="Times New Roman" w:eastAsia="宋体"/>
          <w:b/>
          <w:color w:val="000000"/>
          <w:sz w:val="28"/>
        </w:rPr>
        <w:t>这些数值应视为可能偏乐观的估计，而不是对策略真实优势的无偏测量。</w:t>
      </w:r>
    </w:p>
    <w:p>
      <w:pPr>
        <w:spacing w:before="120" w:after="40"/>
        <w:jc w:val="center"/>
      </w:pPr>
      <w:r>
        <w:drawing>
          <wp:inline xmlns:a="http://schemas.openxmlformats.org/drawingml/2006/main" xmlns:pic="http://schemas.openxmlformats.org/drawingml/2006/picture">
            <wp:extent cx="5256000" cy="1865032"/>
            <wp:docPr id="5" name="Picture 5"/>
            <wp:cNvGraphicFramePr>
              <a:graphicFrameLocks noChangeAspect="1"/>
            </wp:cNvGraphicFramePr>
            <a:graphic>
              <a:graphicData uri="http://schemas.openxmlformats.org/drawingml/2006/picture">
                <pic:pic>
                  <pic:nvPicPr>
                    <pic:cNvPr id="0" name="F2_strategy_vs_random.png"/>
                    <pic:cNvPicPr/>
                  </pic:nvPicPr>
                  <pic:blipFill>
                    <a:blip r:embed="rId15"/>
                    <a:stretch>
                      <a:fillRect/>
                    </a:stretch>
                  </pic:blipFill>
                  <pic:spPr>
                    <a:xfrm>
                      <a:off x="0" y="0"/>
                      <a:ext cx="5256000" cy="1865032"/>
                    </a:xfrm>
                    <a:prstGeom prst="rect"/>
                  </pic:spPr>
                </pic:pic>
              </a:graphicData>
            </a:graphic>
          </wp:inline>
        </w:drawing>
      </w:r>
    </w:p>
    <w:p>
      <w:pPr>
        <w:spacing w:line="240" w:lineRule="auto" w:before="40" w:after="160"/>
        <w:jc w:val="center"/>
      </w:pPr>
      <w:r>
        <w:rPr>
          <w:rFonts w:ascii="Times New Roman" w:hAnsi="Times New Roman" w:eastAsia="宋体"/>
          <w:b/>
          <w:color w:val="000000"/>
          <w:sz w:val="24"/>
        </w:rPr>
        <w:t xml:space="preserve">图 </w:t>
      </w:r>
      <w:r>
        <w:fldChar w:fldCharType="begin"/>
        <w:instrText xml:space="preserve">SEQ 图 \* ARABIC</w:instrText>
        <w:fldChar w:fldCharType="separate"/>
        <w:t>（Word 打开时自动更新）</w:t>
        <w:fldChar w:fldCharType="end"/>
      </w:r>
      <w:r>
        <w:rPr>
          <w:rFonts w:ascii="Times New Roman" w:hAnsi="Times New Roman" w:eastAsia="宋体"/>
          <w:b/>
          <w:color w:val="000000"/>
          <w:sz w:val="24"/>
        </w:rPr>
        <w:t xml:space="preserve">　各策略相对均匀随机基准的超额（95% Bootstrap 置信区间）</w:t>
      </w:r>
    </w:p>
    <w:p>
      <w:pPr>
        <w:pStyle w:val="Heading2"/>
        <w:spacing w:line="300" w:lineRule="auto" w:before="200" w:after="80"/>
      </w:pPr>
      <w:r>
        <w:rPr>
          <w:rFonts w:ascii="Times New Roman" w:hAnsi="Times New Roman" w:eastAsia="黑体"/>
          <w:b/>
          <w:color w:val="000000"/>
          <w:sz w:val="28"/>
        </w:rPr>
        <w:t>（三）策略之间的配对差异</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重点配对差异（家族 k=4）</w:t>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rPr>
          <w:tblHeader w:val="true"/>
        </w:trPr>
        <w:tc>
          <w:tcPr>
            <w:tcW w:type="dxa" w:w="1039"/>
          </w:tcPr>
          <w:p>
            <w:pPr>
              <w:spacing w:line="240" w:lineRule="auto" w:before="20" w:after="20"/>
              <w:jc w:val="center"/>
            </w:pPr>
            <w:r/>
            <w:r>
              <w:rPr>
                <w:rFonts w:ascii="Times New Roman" w:hAnsi="Times New Roman" w:eastAsia="宋体"/>
                <w:b/>
                <w:color w:val="000000"/>
                <w:sz w:val="21"/>
              </w:rPr>
              <w:t>切点</w:t>
            </w:r>
          </w:p>
        </w:tc>
        <w:tc>
          <w:tcPr>
            <w:tcW w:type="dxa" w:w="1039"/>
          </w:tcPr>
          <w:p>
            <w:pPr>
              <w:spacing w:line="240" w:lineRule="auto" w:before="20" w:after="20"/>
              <w:jc w:val="center"/>
            </w:pPr>
            <w:r/>
            <w:r>
              <w:rPr>
                <w:rFonts w:ascii="Times New Roman" w:hAnsi="Times New Roman" w:eastAsia="宋体"/>
                <w:b/>
                <w:color w:val="000000"/>
                <w:sz w:val="21"/>
              </w:rPr>
              <w:t>配对（A − B）</w:t>
            </w:r>
          </w:p>
        </w:tc>
        <w:tc>
          <w:tcPr>
            <w:tcW w:type="dxa" w:w="1039"/>
          </w:tcPr>
          <w:p>
            <w:pPr>
              <w:spacing w:line="240" w:lineRule="auto" w:before="20" w:after="20"/>
              <w:jc w:val="center"/>
            </w:pPr>
            <w:r/>
            <w:r>
              <w:rPr>
                <w:rFonts w:ascii="Times New Roman" w:hAnsi="Times New Roman" w:eastAsia="宋体"/>
                <w:b/>
                <w:color w:val="000000"/>
                <w:sz w:val="21"/>
              </w:rPr>
              <w:t>均值差</w:t>
            </w:r>
          </w:p>
        </w:tc>
        <w:tc>
          <w:tcPr>
            <w:tcW w:type="dxa" w:w="1039"/>
          </w:tcPr>
          <w:p>
            <w:pPr>
              <w:spacing w:line="240" w:lineRule="auto" w:before="20" w:after="20"/>
              <w:jc w:val="center"/>
            </w:pPr>
            <w:r/>
            <w:r>
              <w:rPr>
                <w:rFonts w:ascii="Times New Roman" w:hAnsi="Times New Roman" w:eastAsia="宋体"/>
                <w:b/>
                <w:color w:val="000000"/>
                <w:sz w:val="21"/>
              </w:rPr>
              <w:t>Cohen's d</w:t>
            </w:r>
          </w:p>
        </w:tc>
        <w:tc>
          <w:tcPr>
            <w:tcW w:type="dxa" w:w="1039"/>
          </w:tcPr>
          <w:p>
            <w:pPr>
              <w:spacing w:line="240" w:lineRule="auto" w:before="20" w:after="20"/>
              <w:jc w:val="center"/>
            </w:pPr>
            <w:r/>
            <w:r>
              <w:rPr>
                <w:rFonts w:ascii="Times New Roman" w:hAnsi="Times New Roman" w:eastAsia="宋体"/>
                <w:b/>
                <w:color w:val="000000"/>
                <w:sz w:val="21"/>
              </w:rPr>
              <w:t>95% CI</w:t>
            </w:r>
          </w:p>
        </w:tc>
        <w:tc>
          <w:tcPr>
            <w:tcW w:type="dxa" w:w="1039"/>
          </w:tcPr>
          <w:p>
            <w:pPr>
              <w:spacing w:line="240" w:lineRule="auto" w:before="20" w:after="20"/>
              <w:jc w:val="center"/>
            </w:pPr>
            <w:r/>
            <w:r>
              <w:rPr>
                <w:rFonts w:ascii="Times New Roman" w:hAnsi="Times New Roman" w:eastAsia="宋体"/>
                <w:b/>
                <w:color w:val="000000"/>
                <w:sz w:val="21"/>
              </w:rPr>
              <w:t>p（Bootstrap）</w:t>
            </w:r>
          </w:p>
        </w:tc>
        <w:tc>
          <w:tcPr>
            <w:tcW w:type="dxa" w:w="1039"/>
          </w:tcPr>
          <w:p>
            <w:pPr>
              <w:spacing w:line="240" w:lineRule="auto" w:before="20" w:after="20"/>
              <w:jc w:val="center"/>
            </w:pPr>
            <w:r/>
            <w:r>
              <w:rPr>
                <w:rFonts w:ascii="Times New Roman" w:hAnsi="Times New Roman" w:eastAsia="宋体"/>
                <w:b/>
                <w:color w:val="000000"/>
                <w:sz w:val="21"/>
              </w:rPr>
              <w:t>p（HAC）</w:t>
            </w:r>
          </w:p>
        </w:tc>
        <w:tc>
          <w:tcPr>
            <w:tcW w:type="dxa" w:w="1039"/>
          </w:tcPr>
          <w:p>
            <w:pPr>
              <w:spacing w:line="240" w:lineRule="auto" w:before="20" w:after="20"/>
              <w:jc w:val="center"/>
            </w:pPr>
            <w:r/>
            <w:r>
              <w:rPr>
                <w:rFonts w:ascii="Times New Roman" w:hAnsi="Times New Roman" w:eastAsia="宋体"/>
                <w:b/>
                <w:color w:val="000000"/>
                <w:sz w:val="21"/>
              </w:rPr>
              <w:t>判定</w:t>
            </w:r>
          </w:p>
        </w:tc>
      </w:tr>
      <w:tr>
        <w:tc>
          <w:tcPr>
            <w:tcW w:type="dxa" w:w="1039"/>
          </w:tcPr>
          <w:p>
            <w:pPr>
              <w:spacing w:line="240" w:lineRule="auto" w:before="20" w:after="20"/>
              <w:jc w:val="right"/>
            </w:pPr>
            <w:r/>
            <w:r>
              <w:rPr>
                <w:rFonts w:ascii="Times New Roman" w:hAnsi="Times New Roman" w:eastAsia="宋体"/>
                <w:b w:val="0"/>
                <w:color w:val="000000"/>
                <w:sz w:val="21"/>
              </w:rPr>
              <w:t>128</w:t>
            </w:r>
          </w:p>
        </w:tc>
        <w:tc>
          <w:tcPr>
            <w:tcW w:type="dxa" w:w="1039"/>
          </w:tcPr>
          <w:p>
            <w:pPr>
              <w:spacing w:line="240" w:lineRule="auto" w:before="20" w:after="20"/>
              <w:jc w:val="left"/>
            </w:pPr>
            <w:r/>
            <w:r>
              <w:rPr>
                <w:rFonts w:ascii="Times New Roman" w:hAnsi="Times New Roman" w:eastAsia="宋体"/>
                <w:b w:val="0"/>
                <w:color w:val="000000"/>
                <w:sz w:val="21"/>
              </w:rPr>
              <w:t>相对收益策略 − 季节策略</w:t>
            </w:r>
          </w:p>
        </w:tc>
        <w:tc>
          <w:tcPr>
            <w:tcW w:type="dxa" w:w="1039"/>
          </w:tcPr>
          <w:p>
            <w:pPr>
              <w:spacing w:line="240" w:lineRule="auto" w:before="20" w:after="20"/>
              <w:jc w:val="right"/>
            </w:pPr>
            <w:r/>
            <w:r>
              <w:rPr>
                <w:rFonts w:ascii="Times New Roman" w:hAnsi="Times New Roman" w:eastAsia="宋体"/>
                <w:b w:val="0"/>
                <w:color w:val="000000"/>
                <w:sz w:val="21"/>
              </w:rPr>
              <w:t>+3.95%</w:t>
            </w:r>
          </w:p>
        </w:tc>
        <w:tc>
          <w:tcPr>
            <w:tcW w:type="dxa" w:w="1039"/>
          </w:tcPr>
          <w:p>
            <w:pPr>
              <w:spacing w:line="240" w:lineRule="auto" w:before="20" w:after="20"/>
              <w:jc w:val="right"/>
            </w:pPr>
            <w:r/>
            <w:r>
              <w:rPr>
                <w:rFonts w:ascii="Times New Roman" w:hAnsi="Times New Roman" w:eastAsia="宋体"/>
                <w:b w:val="0"/>
                <w:color w:val="000000"/>
                <w:sz w:val="21"/>
              </w:rPr>
              <w:t>0.204</w:t>
            </w:r>
          </w:p>
        </w:tc>
        <w:tc>
          <w:tcPr>
            <w:tcW w:type="dxa" w:w="1039"/>
          </w:tcPr>
          <w:p>
            <w:pPr>
              <w:spacing w:line="240" w:lineRule="auto" w:before="20" w:after="20"/>
              <w:jc w:val="left"/>
            </w:pPr>
            <w:r/>
            <w:r>
              <w:rPr>
                <w:rFonts w:ascii="Times New Roman" w:hAnsi="Times New Roman" w:eastAsia="宋体"/>
                <w:b w:val="0"/>
                <w:color w:val="000000"/>
                <w:sz w:val="21"/>
              </w:rPr>
              <w:t>[−0.64%, 8.17%]</w:t>
            </w:r>
          </w:p>
        </w:tc>
        <w:tc>
          <w:tcPr>
            <w:tcW w:type="dxa" w:w="1039"/>
          </w:tcPr>
          <w:p>
            <w:pPr>
              <w:spacing w:line="240" w:lineRule="auto" w:before="20" w:after="20"/>
              <w:jc w:val="right"/>
            </w:pPr>
            <w:r/>
            <w:r>
              <w:rPr>
                <w:rFonts w:ascii="Times New Roman" w:hAnsi="Times New Roman" w:eastAsia="宋体"/>
                <w:b w:val="0"/>
                <w:color w:val="000000"/>
                <w:sz w:val="21"/>
              </w:rPr>
              <w:t>0.082</w:t>
            </w:r>
          </w:p>
        </w:tc>
        <w:tc>
          <w:tcPr>
            <w:tcW w:type="dxa" w:w="1039"/>
          </w:tcPr>
          <w:p>
            <w:pPr>
              <w:spacing w:line="240" w:lineRule="auto" w:before="20" w:after="20"/>
              <w:jc w:val="right"/>
            </w:pPr>
            <w:r/>
            <w:r>
              <w:rPr>
                <w:rFonts w:ascii="Times New Roman" w:hAnsi="Times New Roman" w:eastAsia="宋体"/>
                <w:b w:val="0"/>
                <w:color w:val="000000"/>
                <w:sz w:val="21"/>
              </w:rPr>
              <w:t>0.086</w:t>
            </w:r>
          </w:p>
        </w:tc>
        <w:tc>
          <w:tcPr>
            <w:tcW w:type="dxa" w:w="1039"/>
          </w:tcPr>
          <w:p>
            <w:pPr>
              <w:spacing w:line="240" w:lineRule="auto" w:before="20" w:after="20"/>
              <w:jc w:val="left"/>
            </w:pPr>
            <w:r/>
            <w:r>
              <w:rPr>
                <w:rFonts w:ascii="Times New Roman" w:hAnsi="Times New Roman" w:eastAsia="宋体"/>
                <w:b w:val="0"/>
                <w:color w:val="000000"/>
                <w:sz w:val="21"/>
              </w:rPr>
              <w:t>不显著</w:t>
            </w:r>
          </w:p>
        </w:tc>
      </w:tr>
      <w:tr>
        <w:tc>
          <w:tcPr>
            <w:tcW w:type="dxa" w:w="1039"/>
          </w:tcPr>
          <w:p>
            <w:pPr>
              <w:spacing w:line="240" w:lineRule="auto" w:before="20" w:after="20"/>
              <w:jc w:val="right"/>
            </w:pPr>
            <w:r/>
            <w:r>
              <w:rPr>
                <w:rFonts w:ascii="Times New Roman" w:hAnsi="Times New Roman" w:eastAsia="宋体"/>
                <w:b w:val="0"/>
                <w:color w:val="000000"/>
                <w:sz w:val="21"/>
              </w:rPr>
              <w:t>128</w:t>
            </w:r>
          </w:p>
        </w:tc>
        <w:tc>
          <w:tcPr>
            <w:tcW w:type="dxa" w:w="1039"/>
          </w:tcPr>
          <w:p>
            <w:pPr>
              <w:spacing w:line="240" w:lineRule="auto" w:before="20" w:after="20"/>
              <w:jc w:val="left"/>
            </w:pPr>
            <w:r/>
            <w:r>
              <w:rPr>
                <w:rFonts w:ascii="Times New Roman" w:hAnsi="Times New Roman" w:eastAsia="宋体"/>
                <w:b w:val="0"/>
                <w:color w:val="000000"/>
                <w:sz w:val="21"/>
              </w:rPr>
              <w:t>相对收益策略 − 最小尾部风险策略</w:t>
            </w:r>
          </w:p>
        </w:tc>
        <w:tc>
          <w:tcPr>
            <w:tcW w:type="dxa" w:w="1039"/>
          </w:tcPr>
          <w:p>
            <w:pPr>
              <w:spacing w:line="240" w:lineRule="auto" w:before="20" w:after="20"/>
              <w:jc w:val="right"/>
            </w:pPr>
            <w:r/>
            <w:r>
              <w:rPr>
                <w:rFonts w:ascii="Times New Roman" w:hAnsi="Times New Roman" w:eastAsia="宋体"/>
                <w:b w:val="0"/>
                <w:color w:val="000000"/>
                <w:sz w:val="21"/>
              </w:rPr>
              <w:t>+1.56%</w:t>
            </w:r>
          </w:p>
        </w:tc>
        <w:tc>
          <w:tcPr>
            <w:tcW w:type="dxa" w:w="1039"/>
          </w:tcPr>
          <w:p>
            <w:pPr>
              <w:spacing w:line="240" w:lineRule="auto" w:before="20" w:after="20"/>
              <w:jc w:val="right"/>
            </w:pPr>
            <w:r/>
            <w:r>
              <w:rPr>
                <w:rFonts w:ascii="Times New Roman" w:hAnsi="Times New Roman" w:eastAsia="宋体"/>
                <w:b w:val="0"/>
                <w:color w:val="000000"/>
                <w:sz w:val="21"/>
              </w:rPr>
              <w:t>0.091</w:t>
            </w:r>
          </w:p>
        </w:tc>
        <w:tc>
          <w:tcPr>
            <w:tcW w:type="dxa" w:w="1039"/>
          </w:tcPr>
          <w:p>
            <w:pPr>
              <w:spacing w:line="240" w:lineRule="auto" w:before="20" w:after="20"/>
              <w:jc w:val="left"/>
            </w:pPr>
            <w:r/>
            <w:r>
              <w:rPr>
                <w:rFonts w:ascii="Times New Roman" w:hAnsi="Times New Roman" w:eastAsia="宋体"/>
                <w:b w:val="0"/>
                <w:color w:val="000000"/>
                <w:sz w:val="21"/>
              </w:rPr>
              <w:t>[−2.58%, 5.51%]</w:t>
            </w:r>
          </w:p>
        </w:tc>
        <w:tc>
          <w:tcPr>
            <w:tcW w:type="dxa" w:w="1039"/>
          </w:tcPr>
          <w:p>
            <w:pPr>
              <w:spacing w:line="240" w:lineRule="auto" w:before="20" w:after="20"/>
              <w:jc w:val="right"/>
            </w:pPr>
            <w:r/>
            <w:r>
              <w:rPr>
                <w:rFonts w:ascii="Times New Roman" w:hAnsi="Times New Roman" w:eastAsia="宋体"/>
                <w:b w:val="0"/>
                <w:color w:val="000000"/>
                <w:sz w:val="21"/>
              </w:rPr>
              <w:t>0.456</w:t>
            </w:r>
          </w:p>
        </w:tc>
        <w:tc>
          <w:tcPr>
            <w:tcW w:type="dxa" w:w="1039"/>
          </w:tcPr>
          <w:p>
            <w:pPr>
              <w:spacing w:line="240" w:lineRule="auto" w:before="20" w:after="20"/>
              <w:jc w:val="right"/>
            </w:pPr>
            <w:r/>
            <w:r>
              <w:rPr>
                <w:rFonts w:ascii="Times New Roman" w:hAnsi="Times New Roman" w:eastAsia="宋体"/>
                <w:b w:val="0"/>
                <w:color w:val="000000"/>
                <w:sz w:val="21"/>
              </w:rPr>
              <w:t>0.467</w:t>
            </w:r>
          </w:p>
        </w:tc>
        <w:tc>
          <w:tcPr>
            <w:tcW w:type="dxa" w:w="1039"/>
          </w:tcPr>
          <w:p>
            <w:pPr>
              <w:spacing w:line="240" w:lineRule="auto" w:before="20" w:after="20"/>
              <w:jc w:val="left"/>
            </w:pPr>
            <w:r/>
            <w:r>
              <w:rPr>
                <w:rFonts w:ascii="Times New Roman" w:hAnsi="Times New Roman" w:eastAsia="宋体"/>
                <w:b w:val="0"/>
                <w:color w:val="000000"/>
                <w:sz w:val="21"/>
              </w:rPr>
              <w:t>不显著</w:t>
            </w:r>
          </w:p>
        </w:tc>
      </w:tr>
      <w:tr>
        <w:tc>
          <w:tcPr>
            <w:tcW w:type="dxa" w:w="1039"/>
          </w:tcPr>
          <w:p>
            <w:pPr>
              <w:spacing w:line="240" w:lineRule="auto" w:before="20" w:after="20"/>
              <w:jc w:val="right"/>
            </w:pPr>
            <w:r/>
            <w:r>
              <w:rPr>
                <w:rFonts w:ascii="Times New Roman" w:hAnsi="Times New Roman" w:eastAsia="宋体"/>
                <w:b w:val="0"/>
                <w:color w:val="000000"/>
                <w:sz w:val="21"/>
              </w:rPr>
              <w:t>128</w:t>
            </w:r>
          </w:p>
        </w:tc>
        <w:tc>
          <w:tcPr>
            <w:tcW w:type="dxa" w:w="1039"/>
          </w:tcPr>
          <w:p>
            <w:pPr>
              <w:spacing w:line="240" w:lineRule="auto" w:before="20" w:after="20"/>
              <w:jc w:val="left"/>
            </w:pPr>
            <w:r/>
            <w:r>
              <w:rPr>
                <w:rFonts w:ascii="Times New Roman" w:hAnsi="Times New Roman" w:eastAsia="宋体"/>
                <w:b w:val="0"/>
                <w:color w:val="000000"/>
                <w:sz w:val="21"/>
              </w:rPr>
              <w:t>风险平衡策略 − 季节策略</w:t>
            </w:r>
          </w:p>
        </w:tc>
        <w:tc>
          <w:tcPr>
            <w:tcW w:type="dxa" w:w="1039"/>
          </w:tcPr>
          <w:p>
            <w:pPr>
              <w:spacing w:line="240" w:lineRule="auto" w:before="20" w:after="20"/>
              <w:jc w:val="right"/>
            </w:pPr>
            <w:r/>
            <w:r>
              <w:rPr>
                <w:rFonts w:ascii="Times New Roman" w:hAnsi="Times New Roman" w:eastAsia="宋体"/>
                <w:b w:val="0"/>
                <w:color w:val="000000"/>
                <w:sz w:val="21"/>
              </w:rPr>
              <w:t>+2.18%</w:t>
            </w:r>
          </w:p>
        </w:tc>
        <w:tc>
          <w:tcPr>
            <w:tcW w:type="dxa" w:w="1039"/>
          </w:tcPr>
          <w:p>
            <w:pPr>
              <w:spacing w:line="240" w:lineRule="auto" w:before="20" w:after="20"/>
              <w:jc w:val="right"/>
            </w:pPr>
            <w:r/>
            <w:r>
              <w:rPr>
                <w:rFonts w:ascii="Times New Roman" w:hAnsi="Times New Roman" w:eastAsia="宋体"/>
                <w:b w:val="0"/>
                <w:color w:val="000000"/>
                <w:sz w:val="21"/>
              </w:rPr>
              <w:t>0.106</w:t>
            </w:r>
          </w:p>
        </w:tc>
        <w:tc>
          <w:tcPr>
            <w:tcW w:type="dxa" w:w="1039"/>
          </w:tcPr>
          <w:p>
            <w:pPr>
              <w:spacing w:line="240" w:lineRule="auto" w:before="20" w:after="20"/>
              <w:jc w:val="left"/>
            </w:pPr>
            <w:r/>
            <w:r>
              <w:rPr>
                <w:rFonts w:ascii="Times New Roman" w:hAnsi="Times New Roman" w:eastAsia="宋体"/>
                <w:b w:val="0"/>
                <w:color w:val="000000"/>
                <w:sz w:val="21"/>
              </w:rPr>
              <w:t>[−1.97%, 5.96%]</w:t>
            </w:r>
          </w:p>
        </w:tc>
        <w:tc>
          <w:tcPr>
            <w:tcW w:type="dxa" w:w="1039"/>
          </w:tcPr>
          <w:p>
            <w:pPr>
              <w:spacing w:line="240" w:lineRule="auto" w:before="20" w:after="20"/>
              <w:jc w:val="right"/>
            </w:pPr>
            <w:r/>
            <w:r>
              <w:rPr>
                <w:rFonts w:ascii="Times New Roman" w:hAnsi="Times New Roman" w:eastAsia="宋体"/>
                <w:b w:val="0"/>
                <w:color w:val="000000"/>
                <w:sz w:val="21"/>
              </w:rPr>
              <w:t>0.282</w:t>
            </w:r>
          </w:p>
        </w:tc>
        <w:tc>
          <w:tcPr>
            <w:tcW w:type="dxa" w:w="1039"/>
          </w:tcPr>
          <w:p>
            <w:pPr>
              <w:spacing w:line="240" w:lineRule="auto" w:before="20" w:after="20"/>
              <w:jc w:val="right"/>
            </w:pPr>
            <w:r/>
            <w:r>
              <w:rPr>
                <w:rFonts w:ascii="Times New Roman" w:hAnsi="Times New Roman" w:eastAsia="宋体"/>
                <w:b w:val="0"/>
                <w:color w:val="000000"/>
                <w:sz w:val="21"/>
              </w:rPr>
              <w:t>0.293</w:t>
            </w:r>
          </w:p>
        </w:tc>
        <w:tc>
          <w:tcPr>
            <w:tcW w:type="dxa" w:w="1039"/>
          </w:tcPr>
          <w:p>
            <w:pPr>
              <w:spacing w:line="240" w:lineRule="auto" w:before="20" w:after="20"/>
              <w:jc w:val="left"/>
            </w:pPr>
            <w:r/>
            <w:r>
              <w:rPr>
                <w:rFonts w:ascii="Times New Roman" w:hAnsi="Times New Roman" w:eastAsia="宋体"/>
                <w:b w:val="0"/>
                <w:color w:val="000000"/>
                <w:sz w:val="21"/>
              </w:rPr>
              <w:t>不显著</w:t>
            </w:r>
          </w:p>
        </w:tc>
      </w:tr>
      <w:tr>
        <w:tc>
          <w:tcPr>
            <w:tcW w:type="dxa" w:w="1039"/>
          </w:tcPr>
          <w:p>
            <w:pPr>
              <w:spacing w:line="240" w:lineRule="auto" w:before="20" w:after="20"/>
              <w:jc w:val="right"/>
            </w:pPr>
            <w:r/>
            <w:r>
              <w:rPr>
                <w:rFonts w:ascii="Times New Roman" w:hAnsi="Times New Roman" w:eastAsia="宋体"/>
                <w:b w:val="0"/>
                <w:color w:val="000000"/>
                <w:sz w:val="21"/>
              </w:rPr>
              <w:t>128</w:t>
            </w:r>
          </w:p>
        </w:tc>
        <w:tc>
          <w:tcPr>
            <w:tcW w:type="dxa" w:w="1039"/>
          </w:tcPr>
          <w:p>
            <w:pPr>
              <w:spacing w:line="240" w:lineRule="auto" w:before="20" w:after="20"/>
              <w:jc w:val="left"/>
            </w:pPr>
            <w:r/>
            <w:r>
              <w:rPr>
                <w:rFonts w:ascii="Times New Roman" w:hAnsi="Times New Roman" w:eastAsia="宋体"/>
                <w:b w:val="0"/>
                <w:color w:val="000000"/>
                <w:sz w:val="21"/>
              </w:rPr>
              <w:t>风险平衡策略 − 最小尾部风险策略</w:t>
            </w:r>
          </w:p>
        </w:tc>
        <w:tc>
          <w:tcPr>
            <w:tcW w:type="dxa" w:w="1039"/>
          </w:tcPr>
          <w:p>
            <w:pPr>
              <w:spacing w:line="240" w:lineRule="auto" w:before="20" w:after="20"/>
              <w:jc w:val="right"/>
            </w:pPr>
            <w:r/>
            <w:r>
              <w:rPr>
                <w:rFonts w:ascii="Times New Roman" w:hAnsi="Times New Roman" w:eastAsia="宋体"/>
                <w:b w:val="0"/>
                <w:color w:val="000000"/>
                <w:sz w:val="21"/>
              </w:rPr>
              <w:t>−0.22%</w:t>
            </w:r>
          </w:p>
        </w:tc>
        <w:tc>
          <w:tcPr>
            <w:tcW w:type="dxa" w:w="1039"/>
          </w:tcPr>
          <w:p>
            <w:pPr>
              <w:spacing w:line="240" w:lineRule="auto" w:before="20" w:after="20"/>
              <w:jc w:val="right"/>
            </w:pPr>
            <w:r/>
            <w:r>
              <w:rPr>
                <w:rFonts w:ascii="Times New Roman" w:hAnsi="Times New Roman" w:eastAsia="宋体"/>
                <w:b w:val="0"/>
                <w:color w:val="000000"/>
                <w:sz w:val="21"/>
              </w:rPr>
              <w:t>−0.015</w:t>
            </w:r>
          </w:p>
        </w:tc>
        <w:tc>
          <w:tcPr>
            <w:tcW w:type="dxa" w:w="1039"/>
          </w:tcPr>
          <w:p>
            <w:pPr>
              <w:spacing w:line="240" w:lineRule="auto" w:before="20" w:after="20"/>
              <w:jc w:val="left"/>
            </w:pPr>
            <w:r/>
            <w:r>
              <w:rPr>
                <w:rFonts w:ascii="Times New Roman" w:hAnsi="Times New Roman" w:eastAsia="宋体"/>
                <w:b w:val="0"/>
                <w:color w:val="000000"/>
                <w:sz w:val="21"/>
              </w:rPr>
              <w:t>[−3.60%, 2.80%]</w:t>
            </w:r>
          </w:p>
        </w:tc>
        <w:tc>
          <w:tcPr>
            <w:tcW w:type="dxa" w:w="1039"/>
          </w:tcPr>
          <w:p>
            <w:pPr>
              <w:spacing w:line="240" w:lineRule="auto" w:before="20" w:after="20"/>
              <w:jc w:val="right"/>
            </w:pPr>
            <w:r/>
            <w:r>
              <w:rPr>
                <w:rFonts w:ascii="Times New Roman" w:hAnsi="Times New Roman" w:eastAsia="宋体"/>
                <w:b w:val="0"/>
                <w:color w:val="000000"/>
                <w:sz w:val="21"/>
              </w:rPr>
              <w:t>0.894</w:t>
            </w:r>
          </w:p>
        </w:tc>
        <w:tc>
          <w:tcPr>
            <w:tcW w:type="dxa" w:w="1039"/>
          </w:tcPr>
          <w:p>
            <w:pPr>
              <w:spacing w:line="240" w:lineRule="auto" w:before="20" w:after="20"/>
              <w:jc w:val="right"/>
            </w:pPr>
            <w:r/>
            <w:r>
              <w:rPr>
                <w:rFonts w:ascii="Times New Roman" w:hAnsi="Times New Roman" w:eastAsia="宋体"/>
                <w:b w:val="0"/>
                <w:color w:val="000000"/>
                <w:sz w:val="21"/>
              </w:rPr>
              <w:t>0.893</w:t>
            </w:r>
          </w:p>
        </w:tc>
        <w:tc>
          <w:tcPr>
            <w:tcW w:type="dxa" w:w="1039"/>
          </w:tcPr>
          <w:p>
            <w:pPr>
              <w:spacing w:line="240" w:lineRule="auto" w:before="20" w:after="20"/>
              <w:jc w:val="left"/>
            </w:pPr>
            <w:r/>
            <w:r>
              <w:rPr>
                <w:rFonts w:ascii="Times New Roman" w:hAnsi="Times New Roman" w:eastAsia="宋体"/>
                <w:b w:val="0"/>
                <w:color w:val="000000"/>
                <w:sz w:val="21"/>
              </w:rPr>
              <w:t>不显著</w:t>
            </w:r>
          </w:p>
        </w:tc>
      </w:tr>
      <w:tr>
        <w:tc>
          <w:tcPr>
            <w:tcW w:type="dxa" w:w="1039"/>
          </w:tcPr>
          <w:p>
            <w:pPr>
              <w:spacing w:line="240" w:lineRule="auto" w:before="20" w:after="20"/>
              <w:jc w:val="right"/>
            </w:pPr>
            <w:r/>
            <w:r>
              <w:rPr>
                <w:rFonts w:ascii="Times New Roman" w:hAnsi="Times New Roman" w:eastAsia="宋体"/>
                <w:b w:val="0"/>
                <w:color w:val="000000"/>
                <w:sz w:val="21"/>
              </w:rPr>
              <w:t>31</w:t>
            </w:r>
          </w:p>
        </w:tc>
        <w:tc>
          <w:tcPr>
            <w:tcW w:type="dxa" w:w="1039"/>
          </w:tcPr>
          <w:p>
            <w:pPr>
              <w:spacing w:line="240" w:lineRule="auto" w:before="20" w:after="20"/>
              <w:jc w:val="left"/>
            </w:pPr>
            <w:r/>
            <w:r>
              <w:rPr>
                <w:rFonts w:ascii="Times New Roman" w:hAnsi="Times New Roman" w:eastAsia="宋体"/>
                <w:b w:val="0"/>
                <w:color w:val="000000"/>
                <w:sz w:val="21"/>
              </w:rPr>
              <w:t>相对收益策略 − 季节策略</w:t>
            </w:r>
          </w:p>
        </w:tc>
        <w:tc>
          <w:tcPr>
            <w:tcW w:type="dxa" w:w="1039"/>
          </w:tcPr>
          <w:p>
            <w:pPr>
              <w:spacing w:line="240" w:lineRule="auto" w:before="20" w:after="20"/>
              <w:jc w:val="right"/>
            </w:pPr>
            <w:r/>
            <w:r>
              <w:rPr>
                <w:rFonts w:ascii="Times New Roman" w:hAnsi="Times New Roman" w:eastAsia="宋体"/>
                <w:b w:val="0"/>
                <w:color w:val="000000"/>
                <w:sz w:val="21"/>
              </w:rPr>
              <w:t>+6.23%</w:t>
            </w:r>
          </w:p>
        </w:tc>
        <w:tc>
          <w:tcPr>
            <w:tcW w:type="dxa" w:w="1039"/>
          </w:tcPr>
          <w:p>
            <w:pPr>
              <w:spacing w:line="240" w:lineRule="auto" w:before="20" w:after="20"/>
              <w:jc w:val="right"/>
            </w:pPr>
            <w:r/>
            <w:r>
              <w:rPr>
                <w:rFonts w:ascii="Times New Roman" w:hAnsi="Times New Roman" w:eastAsia="宋体"/>
                <w:b w:val="0"/>
                <w:color w:val="000000"/>
                <w:sz w:val="21"/>
              </w:rPr>
              <w:t>0.265</w:t>
            </w:r>
          </w:p>
        </w:tc>
        <w:tc>
          <w:tcPr>
            <w:tcW w:type="dxa" w:w="1039"/>
          </w:tcPr>
          <w:p>
            <w:pPr>
              <w:spacing w:line="240" w:lineRule="auto" w:before="20" w:after="20"/>
              <w:jc w:val="left"/>
            </w:pPr>
            <w:r/>
            <w:r>
              <w:rPr>
                <w:rFonts w:ascii="Times New Roman" w:hAnsi="Times New Roman" w:eastAsia="宋体"/>
                <w:b w:val="0"/>
                <w:color w:val="000000"/>
                <w:sz w:val="21"/>
              </w:rPr>
              <w:t>[−2.35%, 13.68%]</w:t>
            </w:r>
          </w:p>
        </w:tc>
        <w:tc>
          <w:tcPr>
            <w:tcW w:type="dxa" w:w="1039"/>
          </w:tcPr>
          <w:p>
            <w:pPr>
              <w:spacing w:line="240" w:lineRule="auto" w:before="20" w:after="20"/>
              <w:jc w:val="right"/>
            </w:pPr>
            <w:r/>
            <w:r>
              <w:rPr>
                <w:rFonts w:ascii="Times New Roman" w:hAnsi="Times New Roman" w:eastAsia="宋体"/>
                <w:b w:val="0"/>
                <w:color w:val="000000"/>
                <w:sz w:val="21"/>
              </w:rPr>
              <w:t>0.127</w:t>
            </w:r>
          </w:p>
        </w:tc>
        <w:tc>
          <w:tcPr>
            <w:tcW w:type="dxa" w:w="1039"/>
          </w:tcPr>
          <w:p>
            <w:pPr>
              <w:spacing w:line="240" w:lineRule="auto" w:before="20" w:after="20"/>
              <w:jc w:val="right"/>
            </w:pPr>
            <w:r/>
            <w:r>
              <w:rPr>
                <w:rFonts w:ascii="Times New Roman" w:hAnsi="Times New Roman" w:eastAsia="宋体"/>
                <w:b w:val="0"/>
                <w:color w:val="000000"/>
                <w:sz w:val="21"/>
              </w:rPr>
              <w:t>0.168</w:t>
            </w:r>
          </w:p>
        </w:tc>
        <w:tc>
          <w:tcPr>
            <w:tcW w:type="dxa" w:w="1039"/>
          </w:tcPr>
          <w:p>
            <w:pPr>
              <w:spacing w:line="240" w:lineRule="auto" w:before="20" w:after="20"/>
              <w:jc w:val="left"/>
            </w:pPr>
            <w:r/>
            <w:r>
              <w:rPr>
                <w:rFonts w:ascii="Times New Roman" w:hAnsi="Times New Roman" w:eastAsia="宋体"/>
                <w:b w:val="0"/>
                <w:color w:val="000000"/>
                <w:sz w:val="21"/>
              </w:rPr>
              <w:t>不显著</w:t>
            </w:r>
          </w:p>
        </w:tc>
      </w:tr>
      <w:tr>
        <w:tc>
          <w:tcPr>
            <w:tcW w:type="dxa" w:w="1039"/>
          </w:tcPr>
          <w:p>
            <w:pPr>
              <w:spacing w:line="240" w:lineRule="auto" w:before="20" w:after="20"/>
              <w:jc w:val="right"/>
            </w:pPr>
            <w:r/>
            <w:r>
              <w:rPr>
                <w:rFonts w:ascii="Times New Roman" w:hAnsi="Times New Roman" w:eastAsia="宋体"/>
                <w:b w:val="0"/>
                <w:color w:val="000000"/>
                <w:sz w:val="21"/>
              </w:rPr>
              <w:t>31</w:t>
            </w:r>
          </w:p>
        </w:tc>
        <w:tc>
          <w:tcPr>
            <w:tcW w:type="dxa" w:w="1039"/>
          </w:tcPr>
          <w:p>
            <w:pPr>
              <w:spacing w:line="240" w:lineRule="auto" w:before="20" w:after="20"/>
              <w:jc w:val="left"/>
            </w:pPr>
            <w:r/>
            <w:r>
              <w:rPr>
                <w:rFonts w:ascii="Times New Roman" w:hAnsi="Times New Roman" w:eastAsia="宋体"/>
                <w:b w:val="0"/>
                <w:color w:val="000000"/>
                <w:sz w:val="21"/>
              </w:rPr>
              <w:t>相对收益策略 − 最小尾部风险策略</w:t>
            </w:r>
          </w:p>
        </w:tc>
        <w:tc>
          <w:tcPr>
            <w:tcW w:type="dxa" w:w="1039"/>
          </w:tcPr>
          <w:p>
            <w:pPr>
              <w:spacing w:line="240" w:lineRule="auto" w:before="20" w:after="20"/>
              <w:jc w:val="right"/>
            </w:pPr>
            <w:r/>
            <w:r>
              <w:rPr>
                <w:rFonts w:ascii="Times New Roman" w:hAnsi="Times New Roman" w:eastAsia="宋体"/>
                <w:b w:val="0"/>
                <w:color w:val="000000"/>
                <w:sz w:val="21"/>
              </w:rPr>
              <w:t>+0.12%</w:t>
            </w:r>
          </w:p>
        </w:tc>
        <w:tc>
          <w:tcPr>
            <w:tcW w:type="dxa" w:w="1039"/>
          </w:tcPr>
          <w:p>
            <w:pPr>
              <w:spacing w:line="240" w:lineRule="auto" w:before="20" w:after="20"/>
              <w:jc w:val="right"/>
            </w:pPr>
            <w:r/>
            <w:r>
              <w:rPr>
                <w:rFonts w:ascii="Times New Roman" w:hAnsi="Times New Roman" w:eastAsia="宋体"/>
                <w:b w:val="0"/>
                <w:color w:val="000000"/>
                <w:sz w:val="21"/>
              </w:rPr>
              <w:t>0.007</w:t>
            </w:r>
          </w:p>
        </w:tc>
        <w:tc>
          <w:tcPr>
            <w:tcW w:type="dxa" w:w="1039"/>
          </w:tcPr>
          <w:p>
            <w:pPr>
              <w:spacing w:line="240" w:lineRule="auto" w:before="20" w:after="20"/>
              <w:jc w:val="left"/>
            </w:pPr>
            <w:r/>
            <w:r>
              <w:rPr>
                <w:rFonts w:ascii="Times New Roman" w:hAnsi="Times New Roman" w:eastAsia="宋体"/>
                <w:b w:val="0"/>
                <w:color w:val="000000"/>
                <w:sz w:val="21"/>
              </w:rPr>
              <w:t>[−6.74%, 6.01%]</w:t>
            </w:r>
          </w:p>
        </w:tc>
        <w:tc>
          <w:tcPr>
            <w:tcW w:type="dxa" w:w="1039"/>
          </w:tcPr>
          <w:p>
            <w:pPr>
              <w:spacing w:line="240" w:lineRule="auto" w:before="20" w:after="20"/>
              <w:jc w:val="right"/>
            </w:pPr>
            <w:r/>
            <w:r>
              <w:rPr>
                <w:rFonts w:ascii="Times New Roman" w:hAnsi="Times New Roman" w:eastAsia="宋体"/>
                <w:b w:val="0"/>
                <w:color w:val="000000"/>
                <w:sz w:val="21"/>
              </w:rPr>
              <w:t>0.966</w:t>
            </w:r>
          </w:p>
        </w:tc>
        <w:tc>
          <w:tcPr>
            <w:tcW w:type="dxa" w:w="1039"/>
          </w:tcPr>
          <w:p>
            <w:pPr>
              <w:spacing w:line="240" w:lineRule="auto" w:before="20" w:after="20"/>
              <w:jc w:val="right"/>
            </w:pPr>
            <w:r/>
            <w:r>
              <w:rPr>
                <w:rFonts w:ascii="Times New Roman" w:hAnsi="Times New Roman" w:eastAsia="宋体"/>
                <w:b w:val="0"/>
                <w:color w:val="000000"/>
                <w:sz w:val="21"/>
              </w:rPr>
              <w:t>0.970</w:t>
            </w:r>
          </w:p>
        </w:tc>
        <w:tc>
          <w:tcPr>
            <w:tcW w:type="dxa" w:w="1039"/>
          </w:tcPr>
          <w:p>
            <w:pPr>
              <w:spacing w:line="240" w:lineRule="auto" w:before="20" w:after="20"/>
              <w:jc w:val="left"/>
            </w:pPr>
            <w:r/>
            <w:r>
              <w:rPr>
                <w:rFonts w:ascii="Times New Roman" w:hAnsi="Times New Roman" w:eastAsia="宋体"/>
                <w:b w:val="0"/>
                <w:color w:val="000000"/>
                <w:sz w:val="21"/>
              </w:rPr>
              <w:t>不显著</w:t>
            </w:r>
          </w:p>
        </w:tc>
      </w:tr>
      <w:tr>
        <w:tc>
          <w:tcPr>
            <w:tcW w:type="dxa" w:w="1039"/>
          </w:tcPr>
          <w:p>
            <w:pPr>
              <w:spacing w:line="240" w:lineRule="auto" w:before="20" w:after="20"/>
              <w:jc w:val="right"/>
            </w:pPr>
            <w:r/>
            <w:r>
              <w:rPr>
                <w:rFonts w:ascii="Times New Roman" w:hAnsi="Times New Roman" w:eastAsia="宋体"/>
                <w:b w:val="0"/>
                <w:color w:val="000000"/>
                <w:sz w:val="21"/>
              </w:rPr>
              <w:t>31</w:t>
            </w:r>
          </w:p>
        </w:tc>
        <w:tc>
          <w:tcPr>
            <w:tcW w:type="dxa" w:w="1039"/>
          </w:tcPr>
          <w:p>
            <w:pPr>
              <w:spacing w:line="240" w:lineRule="auto" w:before="20" w:after="20"/>
              <w:jc w:val="left"/>
            </w:pPr>
            <w:r/>
            <w:r>
              <w:rPr>
                <w:rFonts w:ascii="Times New Roman" w:hAnsi="Times New Roman" w:eastAsia="宋体"/>
                <w:b w:val="0"/>
                <w:color w:val="000000"/>
                <w:sz w:val="21"/>
              </w:rPr>
              <w:t>风险平衡策略 − 季节策略</w:t>
            </w:r>
          </w:p>
        </w:tc>
        <w:tc>
          <w:tcPr>
            <w:tcW w:type="dxa" w:w="1039"/>
          </w:tcPr>
          <w:p>
            <w:pPr>
              <w:spacing w:line="240" w:lineRule="auto" w:before="20" w:after="20"/>
              <w:jc w:val="right"/>
            </w:pPr>
            <w:r/>
            <w:r>
              <w:rPr>
                <w:rFonts w:ascii="Times New Roman" w:hAnsi="Times New Roman" w:eastAsia="宋体"/>
                <w:b w:val="0"/>
                <w:color w:val="000000"/>
                <w:sz w:val="21"/>
              </w:rPr>
              <w:t>+6.48%</w:t>
            </w:r>
          </w:p>
        </w:tc>
        <w:tc>
          <w:tcPr>
            <w:tcW w:type="dxa" w:w="1039"/>
          </w:tcPr>
          <w:p>
            <w:pPr>
              <w:spacing w:line="240" w:lineRule="auto" w:before="20" w:after="20"/>
              <w:jc w:val="right"/>
            </w:pPr>
            <w:r/>
            <w:r>
              <w:rPr>
                <w:rFonts w:ascii="Times New Roman" w:hAnsi="Times New Roman" w:eastAsia="宋体"/>
                <w:b w:val="0"/>
                <w:color w:val="000000"/>
                <w:sz w:val="21"/>
              </w:rPr>
              <w:t>0.293</w:t>
            </w:r>
          </w:p>
        </w:tc>
        <w:tc>
          <w:tcPr>
            <w:tcW w:type="dxa" w:w="1039"/>
          </w:tcPr>
          <w:p>
            <w:pPr>
              <w:spacing w:line="240" w:lineRule="auto" w:before="20" w:after="20"/>
              <w:jc w:val="left"/>
            </w:pPr>
            <w:r/>
            <w:r>
              <w:rPr>
                <w:rFonts w:ascii="Times New Roman" w:hAnsi="Times New Roman" w:eastAsia="宋体"/>
                <w:b w:val="0"/>
                <w:color w:val="000000"/>
                <w:sz w:val="21"/>
              </w:rPr>
              <w:t>[−1.75%, 13.21%]</w:t>
            </w:r>
          </w:p>
        </w:tc>
        <w:tc>
          <w:tcPr>
            <w:tcW w:type="dxa" w:w="1039"/>
          </w:tcPr>
          <w:p>
            <w:pPr>
              <w:spacing w:line="240" w:lineRule="auto" w:before="20" w:after="20"/>
              <w:jc w:val="right"/>
            </w:pPr>
            <w:r/>
            <w:r>
              <w:rPr>
                <w:rFonts w:ascii="Times New Roman" w:hAnsi="Times New Roman" w:eastAsia="宋体"/>
                <w:b w:val="0"/>
                <w:color w:val="000000"/>
                <w:sz w:val="21"/>
              </w:rPr>
              <w:t>0.089</w:t>
            </w:r>
          </w:p>
        </w:tc>
        <w:tc>
          <w:tcPr>
            <w:tcW w:type="dxa" w:w="1039"/>
          </w:tcPr>
          <w:p>
            <w:pPr>
              <w:spacing w:line="240" w:lineRule="auto" w:before="20" w:after="20"/>
              <w:jc w:val="right"/>
            </w:pPr>
            <w:r/>
            <w:r>
              <w:rPr>
                <w:rFonts w:ascii="Times New Roman" w:hAnsi="Times New Roman" w:eastAsia="宋体"/>
                <w:b w:val="0"/>
                <w:color w:val="000000"/>
                <w:sz w:val="21"/>
              </w:rPr>
              <w:t>0.129</w:t>
            </w:r>
          </w:p>
        </w:tc>
        <w:tc>
          <w:tcPr>
            <w:tcW w:type="dxa" w:w="1039"/>
          </w:tcPr>
          <w:p>
            <w:pPr>
              <w:spacing w:line="240" w:lineRule="auto" w:before="20" w:after="20"/>
              <w:jc w:val="left"/>
            </w:pPr>
            <w:r/>
            <w:r>
              <w:rPr>
                <w:rFonts w:ascii="Times New Roman" w:hAnsi="Times New Roman" w:eastAsia="宋体"/>
                <w:b w:val="0"/>
                <w:color w:val="000000"/>
                <w:sz w:val="21"/>
              </w:rPr>
              <w:t>不显著</w:t>
            </w:r>
          </w:p>
        </w:tc>
      </w:tr>
      <w:tr>
        <w:tc>
          <w:tcPr>
            <w:tcW w:type="dxa" w:w="1039"/>
          </w:tcPr>
          <w:p>
            <w:pPr>
              <w:spacing w:line="240" w:lineRule="auto" w:before="20" w:after="20"/>
              <w:jc w:val="right"/>
            </w:pPr>
            <w:r/>
            <w:r>
              <w:rPr>
                <w:rFonts w:ascii="Times New Roman" w:hAnsi="Times New Roman" w:eastAsia="宋体"/>
                <w:b w:val="0"/>
                <w:color w:val="000000"/>
                <w:sz w:val="21"/>
              </w:rPr>
              <w:t>31</w:t>
            </w:r>
          </w:p>
        </w:tc>
        <w:tc>
          <w:tcPr>
            <w:tcW w:type="dxa" w:w="1039"/>
          </w:tcPr>
          <w:p>
            <w:pPr>
              <w:spacing w:line="240" w:lineRule="auto" w:before="20" w:after="20"/>
              <w:jc w:val="left"/>
            </w:pPr>
            <w:r/>
            <w:r>
              <w:rPr>
                <w:rFonts w:ascii="Times New Roman" w:hAnsi="Times New Roman" w:eastAsia="宋体"/>
                <w:b w:val="0"/>
                <w:color w:val="000000"/>
                <w:sz w:val="21"/>
              </w:rPr>
              <w:t>风险平衡策略 − 最小尾部风险策略</w:t>
            </w:r>
          </w:p>
        </w:tc>
        <w:tc>
          <w:tcPr>
            <w:tcW w:type="dxa" w:w="1039"/>
          </w:tcPr>
          <w:p>
            <w:pPr>
              <w:spacing w:line="240" w:lineRule="auto" w:before="20" w:after="20"/>
              <w:jc w:val="right"/>
            </w:pPr>
            <w:r/>
            <w:r>
              <w:rPr>
                <w:rFonts w:ascii="Times New Roman" w:hAnsi="Times New Roman" w:eastAsia="宋体"/>
                <w:b w:val="0"/>
                <w:color w:val="000000"/>
                <w:sz w:val="21"/>
              </w:rPr>
              <w:t>+0.37%</w:t>
            </w:r>
          </w:p>
        </w:tc>
        <w:tc>
          <w:tcPr>
            <w:tcW w:type="dxa" w:w="1039"/>
          </w:tcPr>
          <w:p>
            <w:pPr>
              <w:spacing w:line="240" w:lineRule="auto" w:before="20" w:after="20"/>
              <w:jc w:val="right"/>
            </w:pPr>
            <w:r/>
            <w:r>
              <w:rPr>
                <w:rFonts w:ascii="Times New Roman" w:hAnsi="Times New Roman" w:eastAsia="宋体"/>
                <w:b w:val="0"/>
                <w:color w:val="000000"/>
                <w:sz w:val="21"/>
              </w:rPr>
              <w:t>0.023</w:t>
            </w:r>
          </w:p>
        </w:tc>
        <w:tc>
          <w:tcPr>
            <w:tcW w:type="dxa" w:w="1039"/>
          </w:tcPr>
          <w:p>
            <w:pPr>
              <w:spacing w:line="240" w:lineRule="auto" w:before="20" w:after="20"/>
              <w:jc w:val="left"/>
            </w:pPr>
            <w:r/>
            <w:r>
              <w:rPr>
                <w:rFonts w:ascii="Times New Roman" w:hAnsi="Times New Roman" w:eastAsia="宋体"/>
                <w:b w:val="0"/>
                <w:color w:val="000000"/>
                <w:sz w:val="21"/>
              </w:rPr>
              <w:t>[−5.80%, 5.44%]</w:t>
            </w:r>
          </w:p>
        </w:tc>
        <w:tc>
          <w:tcPr>
            <w:tcW w:type="dxa" w:w="1039"/>
          </w:tcPr>
          <w:p>
            <w:pPr>
              <w:spacing w:line="240" w:lineRule="auto" w:before="20" w:after="20"/>
              <w:jc w:val="right"/>
            </w:pPr>
            <w:r/>
            <w:r>
              <w:rPr>
                <w:rFonts w:ascii="Times New Roman" w:hAnsi="Times New Roman" w:eastAsia="宋体"/>
                <w:b w:val="0"/>
                <w:color w:val="000000"/>
                <w:sz w:val="21"/>
              </w:rPr>
              <w:t>0.895</w:t>
            </w:r>
          </w:p>
        </w:tc>
        <w:tc>
          <w:tcPr>
            <w:tcW w:type="dxa" w:w="1039"/>
          </w:tcPr>
          <w:p>
            <w:pPr>
              <w:spacing w:line="240" w:lineRule="auto" w:before="20" w:after="20"/>
              <w:jc w:val="right"/>
            </w:pPr>
            <w:r/>
            <w:r>
              <w:rPr>
                <w:rFonts w:ascii="Times New Roman" w:hAnsi="Times New Roman" w:eastAsia="宋体"/>
                <w:b w:val="0"/>
                <w:color w:val="000000"/>
                <w:sz w:val="21"/>
              </w:rPr>
              <w:t>0.903</w:t>
            </w:r>
          </w:p>
        </w:tc>
        <w:tc>
          <w:tcPr>
            <w:tcW w:type="dxa" w:w="1039"/>
          </w:tcPr>
          <w:p>
            <w:pPr>
              <w:spacing w:line="240" w:lineRule="auto" w:before="20" w:after="20"/>
              <w:jc w:val="left"/>
            </w:pPr>
            <w:r/>
            <w:r>
              <w:rPr>
                <w:rFonts w:ascii="Times New Roman" w:hAnsi="Times New Roman" w:eastAsia="宋体"/>
                <w:b w:val="0"/>
                <w:color w:val="000000"/>
                <w:sz w:val="21"/>
              </w:rPr>
              <w:t>不显著</w:t>
            </w:r>
          </w:p>
        </w:tc>
      </w:tr>
    </w:tbl>
    <w:p>
      <w:pPr>
        <w:spacing w:before="0"/>
      </w:pPr>
    </w:p>
    <w:p>
      <w:pPr>
        <w:spacing w:line="300" w:lineRule="auto" w:before="140" w:after="0"/>
        <w:ind w:firstLine="560"/>
        <w:jc w:val="left"/>
      </w:pPr>
      <w:r>
        <w:rPr>
          <w:rFonts w:ascii="Times New Roman" w:hAnsi="Times New Roman" w:eastAsia="宋体"/>
          <w:b w:val="0"/>
          <w:color w:val="000000"/>
          <w:sz w:val="28"/>
        </w:rPr>
        <w:t>表 12 是本文在决策部分的中心结果。八个配对全部不显著，且符号在两种切点口径之间翻转——"相对收益策略 − 季节策略"在 128 切点下为 +3.95%，在 31 切点下为 +6.23%，两者置信区间均跨零，后者宽度超过 16 个百分点。</w:t>
      </w:r>
    </w:p>
    <w:p>
      <w:pPr>
        <w:spacing w:line="300" w:lineRule="auto" w:before="140" w:after="0"/>
        <w:ind w:firstLine="560"/>
        <w:jc w:val="left"/>
      </w:pPr>
      <w:r>
        <w:rPr>
          <w:rFonts w:ascii="Times New Roman" w:hAnsi="Times New Roman" w:eastAsia="宋体"/>
          <w:b w:val="0"/>
          <w:color w:val="000000"/>
          <w:sz w:val="28"/>
        </w:rPr>
        <w:t>对这一结果，本文采用"未达到统计显著"的表述，而不是"策略之间没有差异"。理由是：区间宽度与点估计同量级这一事实说明样本不足以分辨差异，而不是差异不存在。置信区间上界在 31 切点口径下达到约 +13%，意味着若真实差异为 5%—10%，本文的样本量仍不足以保证检出。因此准确的结论是</w:t>
      </w:r>
      <w:r>
        <w:rPr>
          <w:rFonts w:ascii="Times New Roman" w:hAnsi="Times New Roman" w:eastAsia="宋体"/>
          <w:b/>
          <w:color w:val="000000"/>
          <w:sz w:val="28"/>
        </w:rPr>
        <w:t>证据不足</w:t>
      </w:r>
      <w:r>
        <w:rPr>
          <w:rFonts w:ascii="Times New Roman" w:hAnsi="Times New Roman" w:eastAsia="宋体"/>
          <w:b w:val="0"/>
          <w:color w:val="000000"/>
          <w:sz w:val="28"/>
        </w:rPr>
        <w:t>，而非</w:t>
      </w:r>
      <w:r>
        <w:rPr>
          <w:rFonts w:ascii="Times New Roman" w:hAnsi="Times New Roman" w:eastAsia="宋体"/>
          <w:b/>
          <w:color w:val="000000"/>
          <w:sz w:val="28"/>
        </w:rPr>
        <w:t>等效</w:t>
      </w:r>
      <w:r>
        <w:rPr>
          <w:rFonts w:ascii="Times New Roman" w:hAnsi="Times New Roman" w:eastAsia="宋体"/>
          <w:b w:val="0"/>
          <w:color w:val="000000"/>
          <w:sz w:val="28"/>
        </w:rPr>
        <w:t>。</w:t>
      </w:r>
    </w:p>
    <w:p>
      <w:pPr>
        <w:spacing w:line="300" w:lineRule="auto" w:before="140" w:after="0"/>
        <w:ind w:firstLine="560"/>
        <w:jc w:val="left"/>
      </w:pPr>
      <w:r>
        <w:rPr>
          <w:rFonts w:ascii="Times New Roman" w:hAnsi="Times New Roman" w:eastAsia="宋体"/>
          <w:b w:val="0"/>
          <w:color w:val="000000"/>
          <w:sz w:val="28"/>
        </w:rPr>
        <w:t>这一结论的意义在于它否证了一个常见读法。如果只看表 9 的点估计，相对收益策略在 7 天口径下的 +11.77% 确实高于季节策略的 +7.82%，很容易得出"预测驱动的复杂策略最优"的结论。加入配对检验、窗口感知推断与多重比较校正之后，这一差异落在噪声范围之内。对研究实践而言，这意味着仅报告"收益最高的策略"而不做配对检验，在本数据上会系统性地高估复杂策略的相对表现。</w:t>
      </w:r>
    </w:p>
    <w:p>
      <w:pPr>
        <w:pStyle w:val="Heading2"/>
        <w:spacing w:line="300" w:lineRule="auto" w:before="200" w:after="80"/>
      </w:pPr>
      <w:r>
        <w:rPr>
          <w:rFonts w:ascii="Times New Roman" w:hAnsi="Times New Roman" w:eastAsia="黑体"/>
          <w:b/>
          <w:color w:val="000000"/>
          <w:sz w:val="28"/>
        </w:rPr>
        <w:t>（四）追高类策略</w:t>
      </w:r>
    </w:p>
    <w:p>
      <w:pPr>
        <w:spacing w:line="300" w:lineRule="auto" w:before="140" w:after="0"/>
        <w:ind w:firstLine="560"/>
        <w:jc w:val="left"/>
      </w:pPr>
      <w:r>
        <w:rPr>
          <w:rFonts w:ascii="Times New Roman" w:hAnsi="Times New Roman" w:eastAsia="宋体"/>
          <w:b w:val="0"/>
          <w:color w:val="000000"/>
          <w:sz w:val="28"/>
        </w:rPr>
        <w:t>最高价策略（选单价最高者）在 128 切点下经 BH-FDR 为显著负向（−3.28%，[−5.84%, −0.60%]），在 31 切点下为 −2.40% 但未达显著。追涨策略在两种口径下分别为 −0.36% 与 +1.71%，未达显著。两者在高 HRI 环境中的命中率为 21.1% 与 53.1%—54.8%，即系统性地在追高环境中建仓，这与第五节"HRI 高之后未来收益更低"的关联方向一致，构成两条相互支持的证据链。</w:t>
      </w:r>
    </w:p>
    <w:p>
      <w:pPr>
        <w:spacing w:line="300" w:lineRule="auto" w:before="140" w:after="0"/>
        <w:ind w:firstLine="560"/>
        <w:jc w:val="left"/>
      </w:pPr>
      <w:r>
        <w:rPr>
          <w:rFonts w:ascii="Times New Roman" w:hAnsi="Times New Roman" w:eastAsia="宋体"/>
          <w:b w:val="0"/>
          <w:color w:val="000000"/>
          <w:sz w:val="28"/>
        </w:rPr>
        <w:t>两条证据链的支持强度不同，需要区分。最高价策略的负超额通过了校正，可以表述为显著为负；追涨策略的负超额没有通过任何校正，只能表述为方向一致，不能称其已被证明有害。这一区分与第二节文献所述的"未见算法绝对占优"同理：方向一致的弱证据不等同于已被证实的效应[7]。</w:t>
      </w:r>
    </w:p>
    <w:p>
      <w:pPr>
        <w:pStyle w:val="Heading2"/>
        <w:spacing w:line="300" w:lineRule="auto" w:before="200" w:after="80"/>
      </w:pPr>
      <w:r>
        <w:rPr>
          <w:rFonts w:ascii="Times New Roman" w:hAnsi="Times New Roman" w:eastAsia="黑体"/>
          <w:b/>
          <w:color w:val="000000"/>
          <w:sz w:val="28"/>
        </w:rPr>
        <w:t>（五）策略的选品结构</w:t>
      </w:r>
    </w:p>
    <w:p>
      <w:pPr>
        <w:spacing w:line="300" w:lineRule="auto" w:before="140" w:after="0"/>
        <w:ind w:firstLine="560"/>
        <w:jc w:val="left"/>
      </w:pPr>
      <w:r>
        <w:rPr>
          <w:rFonts w:ascii="Times New Roman" w:hAnsi="Times New Roman" w:eastAsia="宋体"/>
          <w:b w:val="0"/>
          <w:color w:val="000000"/>
          <w:sz w:val="28"/>
        </w:rPr>
        <w:t>表 13 显示，策略的选品结构差异很大。最高价策略有 82.0% 的切点选中芸豆，原因在于芸豆的绝对价格水平长期最高，于是"选价格最高者"退化为"几乎总是选芸豆"，与当期市场机会无关——这说明以绝对价格水平作为机会代理的根本缺陷：它不是一种选择规则，而近乎一条固定的品种规则。</w:t>
      </w:r>
      <w:r>
        <w:rPr>
          <w:rFonts w:ascii="Times New Roman" w:hAnsi="Times New Roman" w:eastAsia="宋体"/>
          <w:b/>
          <w:color w:val="000000"/>
          <w:sz w:val="28"/>
        </w:rPr>
        <w:t>表 13　各策略的选品集中度（7 天步长，128 个切点）</w:t>
      </w:r>
    </w:p>
    <w:tbl>
      <w:tblPr>
        <w:tblStyle w:val="TableGrid"/>
        <w:tblW w:type="auto" w:w="0"/>
        <w:jc w:val="center"/>
        <w:tblLook w:firstColumn="1" w:firstRow="1" w:lastColumn="0" w:lastRow="0" w:noHBand="0" w:noVBand="1" w:val="04A0"/>
      </w:tblPr>
      <w:tblGrid>
        <w:gridCol w:w="1662"/>
        <w:gridCol w:w="1662"/>
        <w:gridCol w:w="1662"/>
        <w:gridCol w:w="1662"/>
        <w:gridCol w:w="1662"/>
      </w:tblGrid>
      <w:tr>
        <w:trPr>
          <w:tblHeader w:val="true"/>
        </w:trPr>
        <w:tc>
          <w:tcPr>
            <w:tcW w:type="dxa" w:w="1662"/>
          </w:tcPr>
          <w:p>
            <w:pPr>
              <w:spacing w:line="240" w:lineRule="auto" w:before="20" w:after="20"/>
              <w:jc w:val="center"/>
            </w:pPr>
            <w:r/>
            <w:r>
              <w:rPr>
                <w:rFonts w:ascii="Times New Roman" w:hAnsi="Times New Roman" w:eastAsia="宋体"/>
                <w:b/>
                <w:color w:val="000000"/>
                <w:sz w:val="21"/>
              </w:rPr>
              <w:t>策略</w:t>
            </w:r>
          </w:p>
        </w:tc>
        <w:tc>
          <w:tcPr>
            <w:tcW w:type="dxa" w:w="1662"/>
          </w:tcPr>
          <w:p>
            <w:pPr>
              <w:spacing w:line="240" w:lineRule="auto" w:before="20" w:after="20"/>
              <w:jc w:val="center"/>
            </w:pPr>
            <w:r/>
            <w:r>
              <w:rPr>
                <w:rFonts w:ascii="Times New Roman" w:hAnsi="Times New Roman" w:eastAsia="宋体"/>
                <w:b/>
                <w:color w:val="000000"/>
                <w:sz w:val="21"/>
              </w:rPr>
              <w:t>最常选中品种</w:t>
            </w:r>
          </w:p>
        </w:tc>
        <w:tc>
          <w:tcPr>
            <w:tcW w:type="dxa" w:w="1662"/>
          </w:tcPr>
          <w:p>
            <w:pPr>
              <w:spacing w:line="240" w:lineRule="auto" w:before="20" w:after="20"/>
              <w:jc w:val="center"/>
            </w:pPr>
            <w:r/>
            <w:r>
              <w:rPr>
                <w:rFonts w:ascii="Times New Roman" w:hAnsi="Times New Roman" w:eastAsia="宋体"/>
                <w:b/>
                <w:color w:val="000000"/>
                <w:sz w:val="21"/>
              </w:rPr>
              <w:t>首位占比</w:t>
            </w:r>
          </w:p>
        </w:tc>
        <w:tc>
          <w:tcPr>
            <w:tcW w:type="dxa" w:w="1662"/>
          </w:tcPr>
          <w:p>
            <w:pPr>
              <w:spacing w:line="240" w:lineRule="auto" w:before="20" w:after="20"/>
              <w:jc w:val="center"/>
            </w:pPr>
            <w:r/>
            <w:r>
              <w:rPr>
                <w:rFonts w:ascii="Times New Roman" w:hAnsi="Times New Roman" w:eastAsia="宋体"/>
                <w:b/>
                <w:color w:val="000000"/>
                <w:sz w:val="21"/>
              </w:rPr>
              <w:t>前三占比</w:t>
            </w:r>
          </w:p>
        </w:tc>
        <w:tc>
          <w:tcPr>
            <w:tcW w:type="dxa" w:w="1662"/>
          </w:tcPr>
          <w:p>
            <w:pPr>
              <w:spacing w:line="240" w:lineRule="auto" w:before="20" w:after="20"/>
              <w:jc w:val="center"/>
            </w:pPr>
            <w:r/>
            <w:r>
              <w:rPr>
                <w:rFonts w:ascii="Times New Roman" w:hAnsi="Times New Roman" w:eastAsia="宋体"/>
                <w:b/>
                <w:color w:val="000000"/>
                <w:sz w:val="21"/>
              </w:rPr>
              <w:t>覆盖品种数</w:t>
            </w:r>
          </w:p>
        </w:tc>
      </w:tr>
      <w:tr>
        <w:tc>
          <w:tcPr>
            <w:tcW w:type="dxa" w:w="1662"/>
          </w:tcPr>
          <w:p>
            <w:pPr>
              <w:spacing w:line="240" w:lineRule="auto" w:before="20" w:after="20"/>
              <w:jc w:val="left"/>
            </w:pPr>
            <w:r/>
            <w:r>
              <w:rPr>
                <w:rFonts w:ascii="Times New Roman" w:hAnsi="Times New Roman" w:eastAsia="宋体"/>
                <w:b w:val="0"/>
                <w:color w:val="000000"/>
                <w:sz w:val="21"/>
              </w:rPr>
              <w:t>最高价策略</w:t>
            </w:r>
          </w:p>
        </w:tc>
        <w:tc>
          <w:tcPr>
            <w:tcW w:type="dxa" w:w="1662"/>
          </w:tcPr>
          <w:p>
            <w:pPr>
              <w:spacing w:line="240" w:lineRule="auto" w:before="20" w:after="20"/>
              <w:jc w:val="left"/>
            </w:pPr>
            <w:r/>
            <w:r>
              <w:rPr>
                <w:rFonts w:ascii="Times New Roman" w:hAnsi="Times New Roman" w:eastAsia="宋体"/>
                <w:b w:val="0"/>
                <w:color w:val="000000"/>
                <w:sz w:val="21"/>
              </w:rPr>
              <w:t>芸豆</w:t>
            </w:r>
          </w:p>
        </w:tc>
        <w:tc>
          <w:tcPr>
            <w:tcW w:type="dxa" w:w="1662"/>
          </w:tcPr>
          <w:p>
            <w:pPr>
              <w:spacing w:line="240" w:lineRule="auto" w:before="20" w:after="20"/>
              <w:jc w:val="right"/>
            </w:pPr>
            <w:r/>
            <w:r>
              <w:rPr>
                <w:rFonts w:ascii="Times New Roman" w:hAnsi="Times New Roman" w:eastAsia="宋体"/>
                <w:b w:val="0"/>
                <w:color w:val="000000"/>
                <w:sz w:val="21"/>
              </w:rPr>
              <w:t>82.0%</w:t>
            </w:r>
          </w:p>
        </w:tc>
        <w:tc>
          <w:tcPr>
            <w:tcW w:type="dxa" w:w="1662"/>
          </w:tcPr>
          <w:p>
            <w:pPr>
              <w:spacing w:line="240" w:lineRule="auto" w:before="20" w:after="20"/>
              <w:jc w:val="right"/>
            </w:pPr>
            <w:r/>
            <w:r>
              <w:rPr>
                <w:rFonts w:ascii="Times New Roman" w:hAnsi="Times New Roman" w:eastAsia="宋体"/>
                <w:b w:val="0"/>
                <w:color w:val="000000"/>
                <w:sz w:val="21"/>
              </w:rPr>
              <w:t>94.5%</w:t>
            </w:r>
          </w:p>
        </w:tc>
        <w:tc>
          <w:tcPr>
            <w:tcW w:type="dxa" w:w="1662"/>
          </w:tcPr>
          <w:p>
            <w:pPr>
              <w:spacing w:line="240" w:lineRule="auto" w:before="20" w:after="20"/>
              <w:jc w:val="right"/>
            </w:pPr>
            <w:r/>
            <w:r>
              <w:rPr>
                <w:rFonts w:ascii="Times New Roman" w:hAnsi="Times New Roman" w:eastAsia="宋体"/>
                <w:b w:val="0"/>
                <w:color w:val="000000"/>
                <w:sz w:val="21"/>
              </w:rPr>
              <w:t>5</w:t>
            </w:r>
          </w:p>
        </w:tc>
      </w:tr>
      <w:tr>
        <w:tc>
          <w:tcPr>
            <w:tcW w:type="dxa" w:w="1662"/>
          </w:tcPr>
          <w:p>
            <w:pPr>
              <w:spacing w:line="240" w:lineRule="auto" w:before="20" w:after="20"/>
              <w:jc w:val="left"/>
            </w:pPr>
            <w:r/>
            <w:r>
              <w:rPr>
                <w:rFonts w:ascii="Times New Roman" w:hAnsi="Times New Roman" w:eastAsia="宋体"/>
                <w:b w:val="0"/>
                <w:color w:val="000000"/>
                <w:sz w:val="21"/>
              </w:rPr>
              <w:t>旧风险平衡</w:t>
            </w:r>
          </w:p>
        </w:tc>
        <w:tc>
          <w:tcPr>
            <w:tcW w:type="dxa" w:w="1662"/>
          </w:tcPr>
          <w:p>
            <w:pPr>
              <w:spacing w:line="240" w:lineRule="auto" w:before="20" w:after="20"/>
              <w:jc w:val="left"/>
            </w:pPr>
            <w:r/>
            <w:r>
              <w:rPr>
                <w:rFonts w:ascii="Times New Roman" w:hAnsi="Times New Roman" w:eastAsia="宋体"/>
                <w:b w:val="0"/>
                <w:color w:val="000000"/>
                <w:sz w:val="21"/>
              </w:rPr>
              <w:t>芸豆</w:t>
            </w:r>
          </w:p>
        </w:tc>
        <w:tc>
          <w:tcPr>
            <w:tcW w:type="dxa" w:w="1662"/>
          </w:tcPr>
          <w:p>
            <w:pPr>
              <w:spacing w:line="240" w:lineRule="auto" w:before="20" w:after="20"/>
              <w:jc w:val="right"/>
            </w:pPr>
            <w:r/>
            <w:r>
              <w:rPr>
                <w:rFonts w:ascii="Times New Roman" w:hAnsi="Times New Roman" w:eastAsia="宋体"/>
                <w:b w:val="0"/>
                <w:color w:val="000000"/>
                <w:sz w:val="21"/>
              </w:rPr>
              <w:t>82.8%</w:t>
            </w:r>
          </w:p>
        </w:tc>
        <w:tc>
          <w:tcPr>
            <w:tcW w:type="dxa" w:w="1662"/>
          </w:tcPr>
          <w:p>
            <w:pPr>
              <w:spacing w:line="240" w:lineRule="auto" w:before="20" w:after="20"/>
              <w:jc w:val="right"/>
            </w:pPr>
            <w:r/>
            <w:r>
              <w:rPr>
                <w:rFonts w:ascii="Times New Roman" w:hAnsi="Times New Roman" w:eastAsia="宋体"/>
                <w:b w:val="0"/>
                <w:color w:val="000000"/>
                <w:sz w:val="21"/>
              </w:rPr>
              <w:t>100%</w:t>
            </w:r>
          </w:p>
        </w:tc>
        <w:tc>
          <w:tcPr>
            <w:tcW w:type="dxa" w:w="1662"/>
          </w:tcPr>
          <w:p>
            <w:pPr>
              <w:spacing w:line="240" w:lineRule="auto" w:before="20" w:after="20"/>
              <w:jc w:val="right"/>
            </w:pPr>
            <w:r/>
            <w:r>
              <w:rPr>
                <w:rFonts w:ascii="Times New Roman" w:hAnsi="Times New Roman" w:eastAsia="宋体"/>
                <w:b w:val="0"/>
                <w:color w:val="000000"/>
                <w:sz w:val="21"/>
              </w:rPr>
              <w:t>3</w:t>
            </w:r>
          </w:p>
        </w:tc>
      </w:tr>
      <w:tr>
        <w:tc>
          <w:tcPr>
            <w:tcW w:type="dxa" w:w="1662"/>
          </w:tcPr>
          <w:p>
            <w:pPr>
              <w:spacing w:line="240" w:lineRule="auto" w:before="20" w:after="20"/>
              <w:jc w:val="left"/>
            </w:pPr>
            <w:r/>
            <w:r>
              <w:rPr>
                <w:rFonts w:ascii="Times New Roman" w:hAnsi="Times New Roman" w:eastAsia="宋体"/>
                <w:b w:val="0"/>
                <w:color w:val="000000"/>
                <w:sz w:val="21"/>
              </w:rPr>
              <w:t>风险平衡 v1</w:t>
            </w:r>
          </w:p>
        </w:tc>
        <w:tc>
          <w:tcPr>
            <w:tcW w:type="dxa" w:w="1662"/>
          </w:tcPr>
          <w:p>
            <w:pPr>
              <w:spacing w:line="240" w:lineRule="auto" w:before="20" w:after="20"/>
              <w:jc w:val="left"/>
            </w:pPr>
            <w:r/>
            <w:r>
              <w:rPr>
                <w:rFonts w:ascii="Times New Roman" w:hAnsi="Times New Roman" w:eastAsia="宋体"/>
                <w:b w:val="0"/>
                <w:color w:val="000000"/>
                <w:sz w:val="21"/>
              </w:rPr>
              <w:t>芸豆</w:t>
            </w:r>
          </w:p>
        </w:tc>
        <w:tc>
          <w:tcPr>
            <w:tcW w:type="dxa" w:w="1662"/>
          </w:tcPr>
          <w:p>
            <w:pPr>
              <w:spacing w:line="240" w:lineRule="auto" w:before="20" w:after="20"/>
              <w:jc w:val="right"/>
            </w:pPr>
            <w:r/>
            <w:r>
              <w:rPr>
                <w:rFonts w:ascii="Times New Roman" w:hAnsi="Times New Roman" w:eastAsia="宋体"/>
                <w:b w:val="0"/>
                <w:color w:val="000000"/>
                <w:sz w:val="21"/>
              </w:rPr>
              <w:t>62.5%</w:t>
            </w:r>
          </w:p>
        </w:tc>
        <w:tc>
          <w:tcPr>
            <w:tcW w:type="dxa" w:w="1662"/>
          </w:tcPr>
          <w:p>
            <w:pPr>
              <w:spacing w:line="240" w:lineRule="auto" w:before="20" w:after="20"/>
              <w:jc w:val="right"/>
            </w:pPr>
            <w:r/>
            <w:r>
              <w:rPr>
                <w:rFonts w:ascii="Times New Roman" w:hAnsi="Times New Roman" w:eastAsia="宋体"/>
                <w:b w:val="0"/>
                <w:color w:val="000000"/>
                <w:sz w:val="21"/>
              </w:rPr>
              <w:t>97.7%</w:t>
            </w:r>
          </w:p>
        </w:tc>
        <w:tc>
          <w:tcPr>
            <w:tcW w:type="dxa" w:w="1662"/>
          </w:tcPr>
          <w:p>
            <w:pPr>
              <w:spacing w:line="240" w:lineRule="auto" w:before="20" w:after="20"/>
              <w:jc w:val="right"/>
            </w:pPr>
            <w:r/>
            <w:r>
              <w:rPr>
                <w:rFonts w:ascii="Times New Roman" w:hAnsi="Times New Roman" w:eastAsia="宋体"/>
                <w:b w:val="0"/>
                <w:color w:val="000000"/>
                <w:sz w:val="21"/>
              </w:rPr>
              <w:t>6</w:t>
            </w:r>
          </w:p>
        </w:tc>
      </w:tr>
      <w:tr>
        <w:tc>
          <w:tcPr>
            <w:tcW w:type="dxa" w:w="1662"/>
          </w:tcPr>
          <w:p>
            <w:pPr>
              <w:spacing w:line="240" w:lineRule="auto" w:before="20" w:after="20"/>
              <w:jc w:val="left"/>
            </w:pPr>
            <w:r/>
            <w:r>
              <w:rPr>
                <w:rFonts w:ascii="Times New Roman" w:hAnsi="Times New Roman" w:eastAsia="宋体"/>
                <w:b w:val="0"/>
                <w:color w:val="000000"/>
                <w:sz w:val="21"/>
              </w:rPr>
              <w:t>最小尾部风险策略</w:t>
            </w:r>
          </w:p>
        </w:tc>
        <w:tc>
          <w:tcPr>
            <w:tcW w:type="dxa" w:w="1662"/>
          </w:tcPr>
          <w:p>
            <w:pPr>
              <w:spacing w:line="240" w:lineRule="auto" w:before="20" w:after="20"/>
              <w:jc w:val="left"/>
            </w:pPr>
            <w:r/>
            <w:r>
              <w:rPr>
                <w:rFonts w:ascii="Times New Roman" w:hAnsi="Times New Roman" w:eastAsia="宋体"/>
                <w:b w:val="0"/>
                <w:color w:val="000000"/>
                <w:sz w:val="21"/>
              </w:rPr>
              <w:t>土豆</w:t>
            </w:r>
          </w:p>
        </w:tc>
        <w:tc>
          <w:tcPr>
            <w:tcW w:type="dxa" w:w="1662"/>
          </w:tcPr>
          <w:p>
            <w:pPr>
              <w:spacing w:line="240" w:lineRule="auto" w:before="20" w:after="20"/>
              <w:jc w:val="right"/>
            </w:pPr>
            <w:r/>
            <w:r>
              <w:rPr>
                <w:rFonts w:ascii="Times New Roman" w:hAnsi="Times New Roman" w:eastAsia="宋体"/>
                <w:b w:val="0"/>
                <w:color w:val="000000"/>
                <w:sz w:val="21"/>
              </w:rPr>
              <w:t>44.5%</w:t>
            </w:r>
          </w:p>
        </w:tc>
        <w:tc>
          <w:tcPr>
            <w:tcW w:type="dxa" w:w="1662"/>
          </w:tcPr>
          <w:p>
            <w:pPr>
              <w:spacing w:line="240" w:lineRule="auto" w:before="20" w:after="20"/>
              <w:jc w:val="right"/>
            </w:pPr>
            <w:r/>
            <w:r>
              <w:rPr>
                <w:rFonts w:ascii="Times New Roman" w:hAnsi="Times New Roman" w:eastAsia="宋体"/>
                <w:b w:val="0"/>
                <w:color w:val="000000"/>
                <w:sz w:val="21"/>
              </w:rPr>
              <w:t>70.3%</w:t>
            </w:r>
          </w:p>
        </w:tc>
        <w:tc>
          <w:tcPr>
            <w:tcW w:type="dxa" w:w="1662"/>
          </w:tcPr>
          <w:p>
            <w:pPr>
              <w:spacing w:line="240" w:lineRule="auto" w:before="20" w:after="20"/>
              <w:jc w:val="right"/>
            </w:pPr>
            <w:r/>
            <w:r>
              <w:rPr>
                <w:rFonts w:ascii="Times New Roman" w:hAnsi="Times New Roman" w:eastAsia="宋体"/>
                <w:b w:val="0"/>
                <w:color w:val="000000"/>
                <w:sz w:val="21"/>
              </w:rPr>
              <w:t>9</w:t>
            </w:r>
          </w:p>
        </w:tc>
      </w:tr>
      <w:tr>
        <w:tc>
          <w:tcPr>
            <w:tcW w:type="dxa" w:w="1662"/>
          </w:tcPr>
          <w:p>
            <w:pPr>
              <w:spacing w:line="240" w:lineRule="auto" w:before="20" w:after="20"/>
              <w:jc w:val="left"/>
            </w:pPr>
            <w:r/>
            <w:r>
              <w:rPr>
                <w:rFonts w:ascii="Times New Roman" w:hAnsi="Times New Roman" w:eastAsia="宋体"/>
                <w:b w:val="0"/>
                <w:color w:val="000000"/>
                <w:sz w:val="21"/>
              </w:rPr>
              <w:t>相对收益策略</w:t>
            </w:r>
          </w:p>
        </w:tc>
        <w:tc>
          <w:tcPr>
            <w:tcW w:type="dxa" w:w="1662"/>
          </w:tcPr>
          <w:p>
            <w:pPr>
              <w:spacing w:line="240" w:lineRule="auto" w:before="20" w:after="20"/>
              <w:jc w:val="left"/>
            </w:pPr>
            <w:r/>
            <w:r>
              <w:rPr>
                <w:rFonts w:ascii="Times New Roman" w:hAnsi="Times New Roman" w:eastAsia="宋体"/>
                <w:b w:val="0"/>
                <w:color w:val="000000"/>
                <w:sz w:val="21"/>
              </w:rPr>
              <w:t>黄瓜</w:t>
            </w:r>
          </w:p>
        </w:tc>
        <w:tc>
          <w:tcPr>
            <w:tcW w:type="dxa" w:w="1662"/>
          </w:tcPr>
          <w:p>
            <w:pPr>
              <w:spacing w:line="240" w:lineRule="auto" w:before="20" w:after="20"/>
              <w:jc w:val="right"/>
            </w:pPr>
            <w:r/>
            <w:r>
              <w:rPr>
                <w:rFonts w:ascii="Times New Roman" w:hAnsi="Times New Roman" w:eastAsia="宋体"/>
                <w:b w:val="0"/>
                <w:color w:val="000000"/>
                <w:sz w:val="21"/>
              </w:rPr>
              <w:t>33.6%</w:t>
            </w:r>
          </w:p>
        </w:tc>
        <w:tc>
          <w:tcPr>
            <w:tcW w:type="dxa" w:w="1662"/>
          </w:tcPr>
          <w:p>
            <w:pPr>
              <w:spacing w:line="240" w:lineRule="auto" w:before="20" w:after="20"/>
              <w:jc w:val="right"/>
            </w:pPr>
            <w:r/>
            <w:r>
              <w:rPr>
                <w:rFonts w:ascii="Times New Roman" w:hAnsi="Times New Roman" w:eastAsia="宋体"/>
                <w:b w:val="0"/>
                <w:color w:val="000000"/>
                <w:sz w:val="21"/>
              </w:rPr>
              <w:t>68.0%</w:t>
            </w:r>
          </w:p>
        </w:tc>
        <w:tc>
          <w:tcPr>
            <w:tcW w:type="dxa" w:w="1662"/>
          </w:tcPr>
          <w:p>
            <w:pPr>
              <w:spacing w:line="240" w:lineRule="auto" w:before="20" w:after="20"/>
              <w:jc w:val="right"/>
            </w:pPr>
            <w:r/>
            <w:r>
              <w:rPr>
                <w:rFonts w:ascii="Times New Roman" w:hAnsi="Times New Roman" w:eastAsia="宋体"/>
                <w:b w:val="0"/>
                <w:color w:val="000000"/>
                <w:sz w:val="21"/>
              </w:rPr>
              <w:t>8</w:t>
            </w:r>
          </w:p>
        </w:tc>
      </w:tr>
      <w:tr>
        <w:tc>
          <w:tcPr>
            <w:tcW w:type="dxa" w:w="1662"/>
          </w:tcPr>
          <w:p>
            <w:pPr>
              <w:spacing w:line="240" w:lineRule="auto" w:before="20" w:after="20"/>
              <w:jc w:val="left"/>
            </w:pPr>
            <w:r/>
            <w:r>
              <w:rPr>
                <w:rFonts w:ascii="Times New Roman" w:hAnsi="Times New Roman" w:eastAsia="宋体"/>
                <w:b w:val="0"/>
                <w:color w:val="000000"/>
                <w:sz w:val="21"/>
              </w:rPr>
              <w:t>低风险策略</w:t>
            </w:r>
          </w:p>
        </w:tc>
        <w:tc>
          <w:tcPr>
            <w:tcW w:type="dxa" w:w="1662"/>
          </w:tcPr>
          <w:p>
            <w:pPr>
              <w:spacing w:line="240" w:lineRule="auto" w:before="20" w:after="20"/>
              <w:jc w:val="left"/>
            </w:pPr>
            <w:r/>
            <w:r>
              <w:rPr>
                <w:rFonts w:ascii="Times New Roman" w:hAnsi="Times New Roman" w:eastAsia="宋体"/>
                <w:b w:val="0"/>
                <w:color w:val="000000"/>
                <w:sz w:val="21"/>
              </w:rPr>
              <w:t>土豆</w:t>
            </w:r>
          </w:p>
        </w:tc>
        <w:tc>
          <w:tcPr>
            <w:tcW w:type="dxa" w:w="1662"/>
          </w:tcPr>
          <w:p>
            <w:pPr>
              <w:spacing w:line="240" w:lineRule="auto" w:before="20" w:after="20"/>
              <w:jc w:val="right"/>
            </w:pPr>
            <w:r/>
            <w:r>
              <w:rPr>
                <w:rFonts w:ascii="Times New Roman" w:hAnsi="Times New Roman" w:eastAsia="宋体"/>
                <w:b w:val="0"/>
                <w:color w:val="000000"/>
                <w:sz w:val="21"/>
              </w:rPr>
              <w:t>23.4%</w:t>
            </w:r>
          </w:p>
        </w:tc>
        <w:tc>
          <w:tcPr>
            <w:tcW w:type="dxa" w:w="1662"/>
          </w:tcPr>
          <w:p>
            <w:pPr>
              <w:spacing w:line="240" w:lineRule="auto" w:before="20" w:after="20"/>
              <w:jc w:val="right"/>
            </w:pPr>
            <w:r/>
            <w:r>
              <w:rPr>
                <w:rFonts w:ascii="Times New Roman" w:hAnsi="Times New Roman" w:eastAsia="宋体"/>
                <w:b w:val="0"/>
                <w:color w:val="000000"/>
                <w:sz w:val="21"/>
              </w:rPr>
              <w:t>48.4%</w:t>
            </w:r>
          </w:p>
        </w:tc>
        <w:tc>
          <w:tcPr>
            <w:tcW w:type="dxa" w:w="1662"/>
          </w:tcPr>
          <w:p>
            <w:pPr>
              <w:spacing w:line="240" w:lineRule="auto" w:before="20" w:after="20"/>
              <w:jc w:val="right"/>
            </w:pPr>
            <w:r/>
            <w:r>
              <w:rPr>
                <w:rFonts w:ascii="Times New Roman" w:hAnsi="Times New Roman" w:eastAsia="宋体"/>
                <w:b w:val="0"/>
                <w:color w:val="000000"/>
                <w:sz w:val="21"/>
              </w:rPr>
              <w:t>10</w:t>
            </w:r>
          </w:p>
        </w:tc>
      </w:tr>
      <w:tr>
        <w:tc>
          <w:tcPr>
            <w:tcW w:type="dxa" w:w="1662"/>
          </w:tcPr>
          <w:p>
            <w:pPr>
              <w:spacing w:line="240" w:lineRule="auto" w:before="20" w:after="20"/>
              <w:jc w:val="left"/>
            </w:pPr>
            <w:r/>
            <w:r>
              <w:rPr>
                <w:rFonts w:ascii="Times New Roman" w:hAnsi="Times New Roman" w:eastAsia="宋体"/>
                <w:b w:val="0"/>
                <w:color w:val="000000"/>
                <w:sz w:val="21"/>
              </w:rPr>
              <w:t>风险平衡策略</w:t>
            </w:r>
          </w:p>
        </w:tc>
        <w:tc>
          <w:tcPr>
            <w:tcW w:type="dxa" w:w="1662"/>
          </w:tcPr>
          <w:p>
            <w:pPr>
              <w:spacing w:line="240" w:lineRule="auto" w:before="20" w:after="20"/>
              <w:jc w:val="left"/>
            </w:pPr>
            <w:r/>
            <w:r>
              <w:rPr>
                <w:rFonts w:ascii="Times New Roman" w:hAnsi="Times New Roman" w:eastAsia="宋体"/>
                <w:b w:val="0"/>
                <w:color w:val="000000"/>
                <w:sz w:val="21"/>
              </w:rPr>
              <w:t>黄瓜</w:t>
            </w:r>
          </w:p>
        </w:tc>
        <w:tc>
          <w:tcPr>
            <w:tcW w:type="dxa" w:w="1662"/>
          </w:tcPr>
          <w:p>
            <w:pPr>
              <w:spacing w:line="240" w:lineRule="auto" w:before="20" w:after="20"/>
              <w:jc w:val="right"/>
            </w:pPr>
            <w:r/>
            <w:r>
              <w:rPr>
                <w:rFonts w:ascii="Times New Roman" w:hAnsi="Times New Roman" w:eastAsia="宋体"/>
                <w:b w:val="0"/>
                <w:color w:val="000000"/>
                <w:sz w:val="21"/>
              </w:rPr>
              <w:t>21.1%</w:t>
            </w:r>
          </w:p>
        </w:tc>
        <w:tc>
          <w:tcPr>
            <w:tcW w:type="dxa" w:w="1662"/>
          </w:tcPr>
          <w:p>
            <w:pPr>
              <w:spacing w:line="240" w:lineRule="auto" w:before="20" w:after="20"/>
              <w:jc w:val="right"/>
            </w:pPr>
            <w:r/>
            <w:r>
              <w:rPr>
                <w:rFonts w:ascii="Times New Roman" w:hAnsi="Times New Roman" w:eastAsia="宋体"/>
                <w:b w:val="0"/>
                <w:color w:val="000000"/>
                <w:sz w:val="21"/>
              </w:rPr>
              <w:t>54.7%</w:t>
            </w:r>
          </w:p>
        </w:tc>
        <w:tc>
          <w:tcPr>
            <w:tcW w:type="dxa" w:w="1662"/>
          </w:tcPr>
          <w:p>
            <w:pPr>
              <w:spacing w:line="240" w:lineRule="auto" w:before="20" w:after="20"/>
              <w:jc w:val="right"/>
            </w:pPr>
            <w:r/>
            <w:r>
              <w:rPr>
                <w:rFonts w:ascii="Times New Roman" w:hAnsi="Times New Roman" w:eastAsia="宋体"/>
                <w:b w:val="0"/>
                <w:color w:val="000000"/>
                <w:sz w:val="21"/>
              </w:rPr>
              <w:t>10</w:t>
            </w:r>
          </w:p>
        </w:tc>
      </w:tr>
      <w:tr>
        <w:tc>
          <w:tcPr>
            <w:tcW w:type="dxa" w:w="1662"/>
          </w:tcPr>
          <w:p>
            <w:pPr>
              <w:spacing w:line="240" w:lineRule="auto" w:before="20" w:after="20"/>
              <w:jc w:val="left"/>
            </w:pPr>
            <w:r/>
            <w:r>
              <w:rPr>
                <w:rFonts w:ascii="Times New Roman" w:hAnsi="Times New Roman" w:eastAsia="宋体"/>
                <w:b w:val="0"/>
                <w:color w:val="000000"/>
                <w:sz w:val="21"/>
              </w:rPr>
              <w:t>追涨策略</w:t>
            </w:r>
          </w:p>
        </w:tc>
        <w:tc>
          <w:tcPr>
            <w:tcW w:type="dxa" w:w="1662"/>
          </w:tcPr>
          <w:p>
            <w:pPr>
              <w:spacing w:line="240" w:lineRule="auto" w:before="20" w:after="20"/>
              <w:jc w:val="left"/>
            </w:pPr>
            <w:r/>
            <w:r>
              <w:rPr>
                <w:rFonts w:ascii="Times New Roman" w:hAnsi="Times New Roman" w:eastAsia="宋体"/>
                <w:b w:val="0"/>
                <w:color w:val="000000"/>
                <w:sz w:val="21"/>
              </w:rPr>
              <w:t>黄瓜</w:t>
            </w:r>
          </w:p>
        </w:tc>
        <w:tc>
          <w:tcPr>
            <w:tcW w:type="dxa" w:w="1662"/>
          </w:tcPr>
          <w:p>
            <w:pPr>
              <w:spacing w:line="240" w:lineRule="auto" w:before="20" w:after="20"/>
              <w:jc w:val="right"/>
            </w:pPr>
            <w:r/>
            <w:r>
              <w:rPr>
                <w:rFonts w:ascii="Times New Roman" w:hAnsi="Times New Roman" w:eastAsia="宋体"/>
                <w:b w:val="0"/>
                <w:color w:val="000000"/>
                <w:sz w:val="21"/>
              </w:rPr>
              <w:t>21.1%</w:t>
            </w:r>
          </w:p>
        </w:tc>
        <w:tc>
          <w:tcPr>
            <w:tcW w:type="dxa" w:w="1662"/>
          </w:tcPr>
          <w:p>
            <w:pPr>
              <w:spacing w:line="240" w:lineRule="auto" w:before="20" w:after="20"/>
              <w:jc w:val="right"/>
            </w:pPr>
            <w:r/>
            <w:r>
              <w:rPr>
                <w:rFonts w:ascii="Times New Roman" w:hAnsi="Times New Roman" w:eastAsia="宋体"/>
                <w:b w:val="0"/>
                <w:color w:val="000000"/>
                <w:sz w:val="21"/>
              </w:rPr>
              <w:t>47.7%</w:t>
            </w:r>
          </w:p>
        </w:tc>
        <w:tc>
          <w:tcPr>
            <w:tcW w:type="dxa" w:w="1662"/>
          </w:tcPr>
          <w:p>
            <w:pPr>
              <w:spacing w:line="240" w:lineRule="auto" w:before="20" w:after="20"/>
              <w:jc w:val="right"/>
            </w:pPr>
            <w:r/>
            <w:r>
              <w:rPr>
                <w:rFonts w:ascii="Times New Roman" w:hAnsi="Times New Roman" w:eastAsia="宋体"/>
                <w:b w:val="0"/>
                <w:color w:val="000000"/>
                <w:sz w:val="21"/>
              </w:rPr>
              <w:t>10</w:t>
            </w:r>
          </w:p>
        </w:tc>
      </w:tr>
      <w:tr>
        <w:tc>
          <w:tcPr>
            <w:tcW w:type="dxa" w:w="1662"/>
          </w:tcPr>
          <w:p>
            <w:pPr>
              <w:spacing w:line="240" w:lineRule="auto" w:before="20" w:after="20"/>
              <w:jc w:val="left"/>
            </w:pPr>
            <w:r/>
            <w:r>
              <w:rPr>
                <w:rFonts w:ascii="Times New Roman" w:hAnsi="Times New Roman" w:eastAsia="宋体"/>
                <w:b w:val="0"/>
                <w:color w:val="000000"/>
                <w:sz w:val="21"/>
              </w:rPr>
              <w:t>季节策略</w:t>
            </w:r>
          </w:p>
        </w:tc>
        <w:tc>
          <w:tcPr>
            <w:tcW w:type="dxa" w:w="1662"/>
          </w:tcPr>
          <w:p>
            <w:pPr>
              <w:spacing w:line="240" w:lineRule="auto" w:before="20" w:after="20"/>
              <w:jc w:val="left"/>
            </w:pPr>
            <w:r/>
            <w:r>
              <w:rPr>
                <w:rFonts w:ascii="Times New Roman" w:hAnsi="Times New Roman" w:eastAsia="宋体"/>
                <w:b w:val="0"/>
                <w:color w:val="000000"/>
                <w:sz w:val="21"/>
              </w:rPr>
              <w:t>茄子</w:t>
            </w:r>
          </w:p>
        </w:tc>
        <w:tc>
          <w:tcPr>
            <w:tcW w:type="dxa" w:w="1662"/>
          </w:tcPr>
          <w:p>
            <w:pPr>
              <w:spacing w:line="240" w:lineRule="auto" w:before="20" w:after="20"/>
              <w:jc w:val="right"/>
            </w:pPr>
            <w:r/>
            <w:r>
              <w:rPr>
                <w:rFonts w:ascii="Times New Roman" w:hAnsi="Times New Roman" w:eastAsia="宋体"/>
                <w:b w:val="0"/>
                <w:color w:val="000000"/>
                <w:sz w:val="21"/>
              </w:rPr>
              <w:t>20.3%</w:t>
            </w:r>
          </w:p>
        </w:tc>
        <w:tc>
          <w:tcPr>
            <w:tcW w:type="dxa" w:w="1662"/>
          </w:tcPr>
          <w:p>
            <w:pPr>
              <w:spacing w:line="240" w:lineRule="auto" w:before="20" w:after="20"/>
              <w:jc w:val="right"/>
            </w:pPr>
            <w:r/>
            <w:r>
              <w:rPr>
                <w:rFonts w:ascii="Times New Roman" w:hAnsi="Times New Roman" w:eastAsia="宋体"/>
                <w:b w:val="0"/>
                <w:color w:val="000000"/>
                <w:sz w:val="21"/>
              </w:rPr>
              <w:t>59.4%</w:t>
            </w:r>
          </w:p>
        </w:tc>
        <w:tc>
          <w:tcPr>
            <w:tcW w:type="dxa" w:w="1662"/>
          </w:tcPr>
          <w:p>
            <w:pPr>
              <w:spacing w:line="240" w:lineRule="auto" w:before="20" w:after="20"/>
              <w:jc w:val="right"/>
            </w:pPr>
            <w:r/>
            <w:r>
              <w:rPr>
                <w:rFonts w:ascii="Times New Roman" w:hAnsi="Times New Roman" w:eastAsia="宋体"/>
                <w:b w:val="0"/>
                <w:color w:val="000000"/>
                <w:sz w:val="21"/>
              </w:rPr>
              <w:t>7</w:t>
            </w:r>
          </w:p>
        </w:tc>
      </w:tr>
    </w:tbl>
    <w:p>
      <w:pPr>
        <w:spacing w:before="0"/>
      </w:pPr>
    </w:p>
    <w:p>
      <w:pPr>
        <w:spacing w:line="300" w:lineRule="auto" w:before="140" w:after="0"/>
        <w:ind w:firstLine="560"/>
        <w:jc w:val="left"/>
      </w:pPr>
      <w:r>
        <w:rPr>
          <w:rFonts w:ascii="Times New Roman" w:hAnsi="Times New Roman" w:eastAsia="宋体"/>
          <w:b w:val="0"/>
          <w:color w:val="000000"/>
          <w:sz w:val="28"/>
        </w:rPr>
        <w:t>作为对照，采用相对收益口径的策略覆盖更宽的品种范围：相对收益策略覆盖 8 个品种，风险平衡策略覆盖全部 10 个品种，说明其选择随市场状态变化，而非由价格量级决定。最小尾部风险策略把 44.5% 的切点集中在土豆上，这与土豆低波动、低 WAPE（4.99%）的特征相符，也解释了它为何在 31 个切点上拥有最好的尾部指标。</w:t>
      </w:r>
    </w:p>
    <w:p>
      <w:pPr>
        <w:pStyle w:val="Heading1"/>
        <w:spacing w:line="300" w:lineRule="auto" w:before="240" w:after="120"/>
        <w:jc w:val="left"/>
      </w:pPr>
      <w:r>
        <w:rPr>
          <w:rFonts w:ascii="Times New Roman" w:hAnsi="Times New Roman" w:eastAsia="黑体"/>
          <w:b/>
          <w:color w:val="000000"/>
          <w:sz w:val="30"/>
        </w:rPr>
        <w:t>八、稳健性分析</w:t>
      </w:r>
    </w:p>
    <w:p>
      <w:pPr>
        <w:pStyle w:val="Heading2"/>
        <w:spacing w:line="300" w:lineRule="auto" w:before="200" w:after="80"/>
      </w:pPr>
      <w:r>
        <w:rPr>
          <w:rFonts w:ascii="Times New Roman" w:hAnsi="Times New Roman" w:eastAsia="黑体"/>
          <w:b/>
          <w:color w:val="000000"/>
          <w:sz w:val="28"/>
        </w:rPr>
        <w:t>（一）切点口径</w:t>
      </w:r>
    </w:p>
    <w:p>
      <w:pPr>
        <w:spacing w:line="300" w:lineRule="auto" w:before="140" w:after="0"/>
        <w:ind w:firstLine="560"/>
        <w:jc w:val="left"/>
      </w:pPr>
      <w:r>
        <w:rPr>
          <w:rFonts w:ascii="Times New Roman" w:hAnsi="Times New Roman" w:eastAsia="宋体"/>
          <w:b w:val="0"/>
          <w:color w:val="000000"/>
          <w:sz w:val="28"/>
        </w:rPr>
        <w:t>策略排序在两种口径下基本一致：四个正向策略始终位于随机基准之上，追高类始终偏负，变化的是显著性。技术原因已在第七（二）节给出，其中"重叠结构放大有效样本量"有直接证据，"候选池有限导致品种暴露"属推测。结论是同一句：切点口径会直接影响显著性判断，因此必须同时报告，并以不重叠口径作为更严标准。</w:t>
      </w:r>
    </w:p>
    <w:p>
      <w:pPr>
        <w:pStyle w:val="Heading2"/>
        <w:spacing w:line="300" w:lineRule="auto" w:before="200" w:after="80"/>
      </w:pPr>
      <w:r>
        <w:rPr>
          <w:rFonts w:ascii="Times New Roman" w:hAnsi="Times New Roman" w:eastAsia="黑体"/>
          <w:b/>
          <w:color w:val="000000"/>
          <w:sz w:val="28"/>
        </w:rPr>
        <w:t>（二）多重比较家族</w:t>
      </w:r>
    </w:p>
    <w:p>
      <w:pPr>
        <w:spacing w:line="300" w:lineRule="auto" w:before="140" w:after="0"/>
        <w:ind w:firstLine="560"/>
        <w:jc w:val="left"/>
      </w:pPr>
      <w:r>
        <w:rPr>
          <w:rFonts w:ascii="Times New Roman" w:hAnsi="Times New Roman" w:eastAsia="宋体"/>
          <w:b w:val="0"/>
          <w:color w:val="000000"/>
          <w:sz w:val="28"/>
        </w:rPr>
        <w:t>在 k=9 家族下，31 切点下相对收益策略与风险平衡策略的保守 Bonferroni p 值分别为 0.117 与 0.090，均不通过；若把家族缩小到 6 个被点名策略，两者 p 值会相应减小。本文采用较保守的家族定义并披露该敏感性：同一结果在不同家族定义下得到不同判断，说明它处在临界地带，不适合作为强结论。</w:t>
      </w:r>
    </w:p>
    <w:p>
      <w:pPr>
        <w:pStyle w:val="Heading2"/>
        <w:spacing w:line="300" w:lineRule="auto" w:before="200" w:after="80"/>
      </w:pPr>
      <w:r>
        <w:rPr>
          <w:rFonts w:ascii="Times New Roman" w:hAnsi="Times New Roman" w:eastAsia="黑体"/>
          <w:b/>
          <w:color w:val="000000"/>
          <w:sz w:val="28"/>
        </w:rPr>
        <w:t>（三）分年度表现</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策略分年度平均市场机会收益（30 天步长）</w:t>
      </w:r>
    </w:p>
    <w:tbl>
      <w:tblPr>
        <w:tblStyle w:val="TableGrid"/>
        <w:tblW w:type="auto" w:w="0"/>
        <w:jc w:val="center"/>
        <w:tblLook w:firstColumn="1" w:firstRow="1" w:lastColumn="0" w:lastRow="0" w:noHBand="0" w:noVBand="1" w:val="04A0"/>
      </w:tblPr>
      <w:tblGrid>
        <w:gridCol w:w="2078"/>
        <w:gridCol w:w="2078"/>
        <w:gridCol w:w="2078"/>
        <w:gridCol w:w="2078"/>
      </w:tblGrid>
      <w:tr>
        <w:trPr>
          <w:tblHeader w:val="true"/>
        </w:trPr>
        <w:tc>
          <w:tcPr>
            <w:tcW w:type="dxa" w:w="2078"/>
          </w:tcPr>
          <w:p>
            <w:pPr>
              <w:spacing w:line="240" w:lineRule="auto" w:before="20" w:after="20"/>
              <w:jc w:val="center"/>
            </w:pPr>
            <w:r/>
            <w:r>
              <w:rPr>
                <w:rFonts w:ascii="Times New Roman" w:hAnsi="Times New Roman" w:eastAsia="宋体"/>
                <w:b/>
                <w:color w:val="000000"/>
                <w:sz w:val="21"/>
              </w:rPr>
              <w:t>策略</w:t>
            </w:r>
          </w:p>
        </w:tc>
        <w:tc>
          <w:tcPr>
            <w:tcW w:type="dxa" w:w="2078"/>
          </w:tcPr>
          <w:p>
            <w:pPr>
              <w:spacing w:line="240" w:lineRule="auto" w:before="20" w:after="20"/>
              <w:jc w:val="center"/>
            </w:pPr>
            <w:r/>
            <w:r>
              <w:rPr>
                <w:rFonts w:ascii="Times New Roman" w:hAnsi="Times New Roman" w:eastAsia="宋体"/>
                <w:b/>
                <w:color w:val="000000"/>
                <w:sz w:val="21"/>
              </w:rPr>
              <w:t>2024</w:t>
            </w:r>
          </w:p>
        </w:tc>
        <w:tc>
          <w:tcPr>
            <w:tcW w:type="dxa" w:w="2078"/>
          </w:tcPr>
          <w:p>
            <w:pPr>
              <w:spacing w:line="240" w:lineRule="auto" w:before="20" w:after="20"/>
              <w:jc w:val="center"/>
            </w:pPr>
            <w:r/>
            <w:r>
              <w:rPr>
                <w:rFonts w:ascii="Times New Roman" w:hAnsi="Times New Roman" w:eastAsia="宋体"/>
                <w:b/>
                <w:color w:val="000000"/>
                <w:sz w:val="21"/>
              </w:rPr>
              <w:t>2025</w:t>
            </w:r>
          </w:p>
        </w:tc>
        <w:tc>
          <w:tcPr>
            <w:tcW w:type="dxa" w:w="2078"/>
          </w:tcPr>
          <w:p>
            <w:pPr>
              <w:spacing w:line="240" w:lineRule="auto" w:before="20" w:after="20"/>
              <w:jc w:val="center"/>
            </w:pPr>
            <w:r/>
            <w:r>
              <w:rPr>
                <w:rFonts w:ascii="Times New Roman" w:hAnsi="Times New Roman" w:eastAsia="宋体"/>
                <w:b/>
                <w:color w:val="000000"/>
                <w:sz w:val="21"/>
              </w:rPr>
              <w:t>2026</w:t>
            </w:r>
          </w:p>
        </w:tc>
      </w:tr>
      <w:tr>
        <w:tc>
          <w:tcPr>
            <w:tcW w:type="dxa" w:w="2078"/>
          </w:tcPr>
          <w:p>
            <w:pPr>
              <w:spacing w:line="240" w:lineRule="auto" w:before="20" w:after="20"/>
              <w:jc w:val="left"/>
            </w:pPr>
            <w:r/>
            <w:r>
              <w:rPr>
                <w:rFonts w:ascii="Times New Roman" w:hAnsi="Times New Roman" w:eastAsia="宋体"/>
                <w:b w:val="0"/>
                <w:color w:val="000000"/>
                <w:sz w:val="21"/>
              </w:rPr>
              <w:t>相对收益策略</w:t>
            </w:r>
          </w:p>
        </w:tc>
        <w:tc>
          <w:tcPr>
            <w:tcW w:type="dxa" w:w="2078"/>
          </w:tcPr>
          <w:p>
            <w:pPr>
              <w:spacing w:line="240" w:lineRule="auto" w:before="20" w:after="20"/>
              <w:jc w:val="right"/>
            </w:pPr>
            <w:r/>
            <w:r>
              <w:rPr>
                <w:rFonts w:ascii="Times New Roman" w:hAnsi="Times New Roman" w:eastAsia="宋体"/>
                <w:b w:val="0"/>
                <w:color w:val="000000"/>
                <w:sz w:val="21"/>
              </w:rPr>
              <w:t>+4.14%</w:t>
            </w:r>
          </w:p>
        </w:tc>
        <w:tc>
          <w:tcPr>
            <w:tcW w:type="dxa" w:w="2078"/>
          </w:tcPr>
          <w:p>
            <w:pPr>
              <w:spacing w:line="240" w:lineRule="auto" w:before="20" w:after="20"/>
              <w:jc w:val="right"/>
            </w:pPr>
            <w:r/>
            <w:r>
              <w:rPr>
                <w:rFonts w:ascii="Times New Roman" w:hAnsi="Times New Roman" w:eastAsia="宋体"/>
                <w:b w:val="0"/>
                <w:color w:val="000000"/>
                <w:sz w:val="21"/>
              </w:rPr>
              <w:t>+11.74%</w:t>
            </w:r>
          </w:p>
        </w:tc>
        <w:tc>
          <w:tcPr>
            <w:tcW w:type="dxa" w:w="2078"/>
          </w:tcPr>
          <w:p>
            <w:pPr>
              <w:spacing w:line="240" w:lineRule="auto" w:before="20" w:after="20"/>
              <w:jc w:val="right"/>
            </w:pPr>
            <w:r/>
            <w:r>
              <w:rPr>
                <w:rFonts w:ascii="Times New Roman" w:hAnsi="Times New Roman" w:eastAsia="宋体"/>
                <w:b w:val="0"/>
                <w:color w:val="000000"/>
                <w:sz w:val="21"/>
              </w:rPr>
              <w:t>+17.35%</w:t>
            </w:r>
          </w:p>
        </w:tc>
      </w:tr>
      <w:tr>
        <w:tc>
          <w:tcPr>
            <w:tcW w:type="dxa" w:w="2078"/>
          </w:tcPr>
          <w:p>
            <w:pPr>
              <w:spacing w:line="240" w:lineRule="auto" w:before="20" w:after="20"/>
              <w:jc w:val="left"/>
            </w:pPr>
            <w:r/>
            <w:r>
              <w:rPr>
                <w:rFonts w:ascii="Times New Roman" w:hAnsi="Times New Roman" w:eastAsia="宋体"/>
                <w:b w:val="0"/>
                <w:color w:val="000000"/>
                <w:sz w:val="21"/>
              </w:rPr>
              <w:t>风险平衡策略</w:t>
            </w:r>
          </w:p>
        </w:tc>
        <w:tc>
          <w:tcPr>
            <w:tcW w:type="dxa" w:w="2078"/>
          </w:tcPr>
          <w:p>
            <w:pPr>
              <w:spacing w:line="240" w:lineRule="auto" w:before="20" w:after="20"/>
              <w:jc w:val="right"/>
            </w:pPr>
            <w:r/>
            <w:r>
              <w:rPr>
                <w:rFonts w:ascii="Times New Roman" w:hAnsi="Times New Roman" w:eastAsia="宋体"/>
                <w:b w:val="0"/>
                <w:color w:val="000000"/>
                <w:sz w:val="21"/>
              </w:rPr>
              <w:t>+4.98%</w:t>
            </w:r>
          </w:p>
        </w:tc>
        <w:tc>
          <w:tcPr>
            <w:tcW w:type="dxa" w:w="2078"/>
          </w:tcPr>
          <w:p>
            <w:pPr>
              <w:spacing w:line="240" w:lineRule="auto" w:before="20" w:after="20"/>
              <w:jc w:val="right"/>
            </w:pPr>
            <w:r/>
            <w:r>
              <w:rPr>
                <w:rFonts w:ascii="Times New Roman" w:hAnsi="Times New Roman" w:eastAsia="宋体"/>
                <w:b w:val="0"/>
                <w:color w:val="000000"/>
                <w:sz w:val="21"/>
              </w:rPr>
              <w:t>+12.13%</w:t>
            </w:r>
          </w:p>
        </w:tc>
        <w:tc>
          <w:tcPr>
            <w:tcW w:type="dxa" w:w="2078"/>
          </w:tcPr>
          <w:p>
            <w:pPr>
              <w:spacing w:line="240" w:lineRule="auto" w:before="20" w:after="20"/>
              <w:jc w:val="right"/>
            </w:pPr>
            <w:r/>
            <w:r>
              <w:rPr>
                <w:rFonts w:ascii="Times New Roman" w:hAnsi="Times New Roman" w:eastAsia="宋体"/>
                <w:b w:val="0"/>
                <w:color w:val="000000"/>
                <w:sz w:val="21"/>
              </w:rPr>
              <w:t>+16.50%</w:t>
            </w:r>
          </w:p>
        </w:tc>
      </w:tr>
      <w:tr>
        <w:tc>
          <w:tcPr>
            <w:tcW w:type="dxa" w:w="2078"/>
          </w:tcPr>
          <w:p>
            <w:pPr>
              <w:spacing w:line="240" w:lineRule="auto" w:before="20" w:after="20"/>
              <w:jc w:val="left"/>
            </w:pPr>
            <w:r/>
            <w:r>
              <w:rPr>
                <w:rFonts w:ascii="Times New Roman" w:hAnsi="Times New Roman" w:eastAsia="宋体"/>
                <w:b w:val="0"/>
                <w:color w:val="000000"/>
                <w:sz w:val="21"/>
              </w:rPr>
              <w:t>最小尾部风险策略</w:t>
            </w:r>
          </w:p>
        </w:tc>
        <w:tc>
          <w:tcPr>
            <w:tcW w:type="dxa" w:w="2078"/>
          </w:tcPr>
          <w:p>
            <w:pPr>
              <w:spacing w:line="240" w:lineRule="auto" w:before="20" w:after="20"/>
              <w:jc w:val="right"/>
            </w:pPr>
            <w:r/>
            <w:r>
              <w:rPr>
                <w:rFonts w:ascii="Times New Roman" w:hAnsi="Times New Roman" w:eastAsia="宋体"/>
                <w:b w:val="0"/>
                <w:color w:val="000000"/>
                <w:sz w:val="21"/>
              </w:rPr>
              <w:t>+9.20%</w:t>
            </w:r>
          </w:p>
        </w:tc>
        <w:tc>
          <w:tcPr>
            <w:tcW w:type="dxa" w:w="2078"/>
          </w:tcPr>
          <w:p>
            <w:pPr>
              <w:spacing w:line="240" w:lineRule="auto" w:before="20" w:after="20"/>
              <w:jc w:val="right"/>
            </w:pPr>
            <w:r/>
            <w:r>
              <w:rPr>
                <w:rFonts w:ascii="Times New Roman" w:hAnsi="Times New Roman" w:eastAsia="宋体"/>
                <w:b w:val="0"/>
                <w:color w:val="000000"/>
                <w:sz w:val="21"/>
              </w:rPr>
              <w:t>+3.61%</w:t>
            </w:r>
          </w:p>
        </w:tc>
        <w:tc>
          <w:tcPr>
            <w:tcW w:type="dxa" w:w="2078"/>
          </w:tcPr>
          <w:p>
            <w:pPr>
              <w:spacing w:line="240" w:lineRule="auto" w:before="20" w:after="20"/>
              <w:jc w:val="right"/>
            </w:pPr>
            <w:r/>
            <w:r>
              <w:rPr>
                <w:rFonts w:ascii="Times New Roman" w:hAnsi="Times New Roman" w:eastAsia="宋体"/>
                <w:b w:val="0"/>
                <w:color w:val="000000"/>
                <w:sz w:val="21"/>
              </w:rPr>
              <w:t>+20.44%</w:t>
            </w:r>
          </w:p>
        </w:tc>
      </w:tr>
      <w:tr>
        <w:tc>
          <w:tcPr>
            <w:tcW w:type="dxa" w:w="2078"/>
          </w:tcPr>
          <w:p>
            <w:pPr>
              <w:spacing w:line="240" w:lineRule="auto" w:before="20" w:after="20"/>
              <w:jc w:val="left"/>
            </w:pPr>
            <w:r/>
            <w:r>
              <w:rPr>
                <w:rFonts w:ascii="Times New Roman" w:hAnsi="Times New Roman" w:eastAsia="宋体"/>
                <w:b w:val="0"/>
                <w:color w:val="000000"/>
                <w:sz w:val="21"/>
              </w:rPr>
              <w:t>季节策略</w:t>
            </w:r>
          </w:p>
        </w:tc>
        <w:tc>
          <w:tcPr>
            <w:tcW w:type="dxa" w:w="2078"/>
          </w:tcPr>
          <w:p>
            <w:pPr>
              <w:spacing w:line="240" w:lineRule="auto" w:before="20" w:after="20"/>
              <w:jc w:val="right"/>
            </w:pPr>
            <w:r/>
            <w:r>
              <w:rPr>
                <w:rFonts w:ascii="Times New Roman" w:hAnsi="Times New Roman" w:eastAsia="宋体"/>
                <w:b w:val="0"/>
                <w:color w:val="000000"/>
                <w:sz w:val="21"/>
              </w:rPr>
              <w:t>+3.29%</w:t>
            </w:r>
          </w:p>
        </w:tc>
        <w:tc>
          <w:tcPr>
            <w:tcW w:type="dxa" w:w="2078"/>
          </w:tcPr>
          <w:p>
            <w:pPr>
              <w:spacing w:line="240" w:lineRule="auto" w:before="20" w:after="20"/>
              <w:jc w:val="right"/>
            </w:pPr>
            <w:r/>
            <w:r>
              <w:rPr>
                <w:rFonts w:ascii="Times New Roman" w:hAnsi="Times New Roman" w:eastAsia="宋体"/>
                <w:b w:val="0"/>
                <w:color w:val="000000"/>
                <w:sz w:val="21"/>
              </w:rPr>
              <w:t>+8.27%</w:t>
            </w:r>
          </w:p>
        </w:tc>
        <w:tc>
          <w:tcPr>
            <w:tcW w:type="dxa" w:w="2078"/>
          </w:tcPr>
          <w:p>
            <w:pPr>
              <w:spacing w:line="240" w:lineRule="auto" w:before="20" w:after="20"/>
              <w:jc w:val="right"/>
            </w:pPr>
            <w:r/>
            <w:r>
              <w:rPr>
                <w:rFonts w:ascii="Times New Roman" w:hAnsi="Times New Roman" w:eastAsia="宋体"/>
                <w:b w:val="0"/>
                <w:color w:val="000000"/>
                <w:sz w:val="21"/>
              </w:rPr>
              <w:t>−0.76%</w:t>
            </w:r>
          </w:p>
        </w:tc>
      </w:tr>
      <w:tr>
        <w:tc>
          <w:tcPr>
            <w:tcW w:type="dxa" w:w="2078"/>
          </w:tcPr>
          <w:p>
            <w:pPr>
              <w:spacing w:line="240" w:lineRule="auto" w:before="20" w:after="20"/>
              <w:jc w:val="left"/>
            </w:pPr>
            <w:r/>
            <w:r>
              <w:rPr>
                <w:rFonts w:ascii="Times New Roman" w:hAnsi="Times New Roman" w:eastAsia="宋体"/>
                <w:b w:val="0"/>
                <w:color w:val="000000"/>
                <w:sz w:val="21"/>
              </w:rPr>
              <w:t>低风险策略</w:t>
            </w:r>
          </w:p>
        </w:tc>
        <w:tc>
          <w:tcPr>
            <w:tcW w:type="dxa" w:w="2078"/>
          </w:tcPr>
          <w:p>
            <w:pPr>
              <w:spacing w:line="240" w:lineRule="auto" w:before="20" w:after="20"/>
              <w:jc w:val="right"/>
            </w:pPr>
            <w:r/>
            <w:r>
              <w:rPr>
                <w:rFonts w:ascii="Times New Roman" w:hAnsi="Times New Roman" w:eastAsia="宋体"/>
                <w:b w:val="0"/>
                <w:color w:val="000000"/>
                <w:sz w:val="21"/>
              </w:rPr>
              <w:t>+1.97%</w:t>
            </w:r>
          </w:p>
        </w:tc>
        <w:tc>
          <w:tcPr>
            <w:tcW w:type="dxa" w:w="2078"/>
          </w:tcPr>
          <w:p>
            <w:pPr>
              <w:spacing w:line="240" w:lineRule="auto" w:before="20" w:after="20"/>
              <w:jc w:val="right"/>
            </w:pPr>
            <w:r/>
            <w:r>
              <w:rPr>
                <w:rFonts w:ascii="Times New Roman" w:hAnsi="Times New Roman" w:eastAsia="宋体"/>
                <w:b w:val="0"/>
                <w:color w:val="000000"/>
                <w:sz w:val="21"/>
              </w:rPr>
              <w:t>+5.70%</w:t>
            </w:r>
          </w:p>
        </w:tc>
        <w:tc>
          <w:tcPr>
            <w:tcW w:type="dxa" w:w="2078"/>
          </w:tcPr>
          <w:p>
            <w:pPr>
              <w:spacing w:line="240" w:lineRule="auto" w:before="20" w:after="20"/>
              <w:jc w:val="right"/>
            </w:pPr>
            <w:r/>
            <w:r>
              <w:rPr>
                <w:rFonts w:ascii="Times New Roman" w:hAnsi="Times New Roman" w:eastAsia="宋体"/>
                <w:b w:val="0"/>
                <w:color w:val="000000"/>
                <w:sz w:val="21"/>
              </w:rPr>
              <w:t>−0.92%</w:t>
            </w:r>
          </w:p>
        </w:tc>
      </w:tr>
      <w:tr>
        <w:tc>
          <w:tcPr>
            <w:tcW w:type="dxa" w:w="2078"/>
          </w:tcPr>
          <w:p>
            <w:pPr>
              <w:spacing w:line="240" w:lineRule="auto" w:before="20" w:after="20"/>
              <w:jc w:val="left"/>
            </w:pPr>
            <w:r/>
            <w:r>
              <w:rPr>
                <w:rFonts w:ascii="Times New Roman" w:hAnsi="Times New Roman" w:eastAsia="宋体"/>
                <w:b w:val="0"/>
                <w:color w:val="000000"/>
                <w:sz w:val="21"/>
              </w:rPr>
              <w:t>随机</w:t>
            </w:r>
          </w:p>
        </w:tc>
        <w:tc>
          <w:tcPr>
            <w:tcW w:type="dxa" w:w="2078"/>
          </w:tcPr>
          <w:p>
            <w:pPr>
              <w:spacing w:line="240" w:lineRule="auto" w:before="20" w:after="20"/>
              <w:jc w:val="right"/>
            </w:pPr>
            <w:r/>
            <w:r>
              <w:rPr>
                <w:rFonts w:ascii="Times New Roman" w:hAnsi="Times New Roman" w:eastAsia="宋体"/>
                <w:b w:val="0"/>
                <w:color w:val="000000"/>
                <w:sz w:val="21"/>
              </w:rPr>
              <w:t>+0.20%</w:t>
            </w:r>
          </w:p>
        </w:tc>
        <w:tc>
          <w:tcPr>
            <w:tcW w:type="dxa" w:w="2078"/>
          </w:tcPr>
          <w:p>
            <w:pPr>
              <w:spacing w:line="240" w:lineRule="auto" w:before="20" w:after="20"/>
              <w:jc w:val="right"/>
            </w:pPr>
            <w:r/>
            <w:r>
              <w:rPr>
                <w:rFonts w:ascii="Times New Roman" w:hAnsi="Times New Roman" w:eastAsia="宋体"/>
                <w:b w:val="0"/>
                <w:color w:val="000000"/>
                <w:sz w:val="21"/>
              </w:rPr>
              <w:t>+3.55%</w:t>
            </w:r>
          </w:p>
        </w:tc>
        <w:tc>
          <w:tcPr>
            <w:tcW w:type="dxa" w:w="2078"/>
          </w:tcPr>
          <w:p>
            <w:pPr>
              <w:spacing w:line="240" w:lineRule="auto" w:before="20" w:after="20"/>
              <w:jc w:val="right"/>
            </w:pPr>
            <w:r/>
            <w:r>
              <w:rPr>
                <w:rFonts w:ascii="Times New Roman" w:hAnsi="Times New Roman" w:eastAsia="宋体"/>
                <w:b w:val="0"/>
                <w:color w:val="000000"/>
                <w:sz w:val="21"/>
              </w:rPr>
              <w:t>−1.59%</w:t>
            </w:r>
          </w:p>
        </w:tc>
      </w:tr>
      <w:tr>
        <w:tc>
          <w:tcPr>
            <w:tcW w:type="dxa" w:w="2078"/>
          </w:tcPr>
          <w:p>
            <w:pPr>
              <w:spacing w:line="240" w:lineRule="auto" w:before="20" w:after="20"/>
              <w:jc w:val="left"/>
            </w:pPr>
            <w:r/>
            <w:r>
              <w:rPr>
                <w:rFonts w:ascii="Times New Roman" w:hAnsi="Times New Roman" w:eastAsia="宋体"/>
                <w:b w:val="0"/>
                <w:color w:val="000000"/>
                <w:sz w:val="21"/>
              </w:rPr>
              <w:t>最高价策略</w:t>
            </w:r>
          </w:p>
        </w:tc>
        <w:tc>
          <w:tcPr>
            <w:tcW w:type="dxa" w:w="2078"/>
          </w:tcPr>
          <w:p>
            <w:pPr>
              <w:spacing w:line="240" w:lineRule="auto" w:before="20" w:after="20"/>
              <w:jc w:val="right"/>
            </w:pPr>
            <w:r/>
            <w:r>
              <w:rPr>
                <w:rFonts w:ascii="Times New Roman" w:hAnsi="Times New Roman" w:eastAsia="宋体"/>
                <w:b w:val="0"/>
                <w:color w:val="000000"/>
                <w:sz w:val="21"/>
              </w:rPr>
              <w:t>−6.02%</w:t>
            </w:r>
          </w:p>
        </w:tc>
        <w:tc>
          <w:tcPr>
            <w:tcW w:type="dxa" w:w="2078"/>
          </w:tcPr>
          <w:p>
            <w:pPr>
              <w:spacing w:line="240" w:lineRule="auto" w:before="20" w:after="20"/>
              <w:jc w:val="right"/>
            </w:pPr>
            <w:r/>
            <w:r>
              <w:rPr>
                <w:rFonts w:ascii="Times New Roman" w:hAnsi="Times New Roman" w:eastAsia="宋体"/>
                <w:b w:val="0"/>
                <w:color w:val="000000"/>
                <w:sz w:val="21"/>
              </w:rPr>
              <w:t>+1.82%</w:t>
            </w:r>
          </w:p>
        </w:tc>
        <w:tc>
          <w:tcPr>
            <w:tcW w:type="dxa" w:w="2078"/>
          </w:tcPr>
          <w:p>
            <w:pPr>
              <w:spacing w:line="240" w:lineRule="auto" w:before="20" w:after="20"/>
              <w:jc w:val="right"/>
            </w:pPr>
            <w:r/>
            <w:r>
              <w:rPr>
                <w:rFonts w:ascii="Times New Roman" w:hAnsi="Times New Roman" w:eastAsia="宋体"/>
                <w:b w:val="0"/>
                <w:color w:val="000000"/>
                <w:sz w:val="21"/>
              </w:rPr>
              <w:t>−2.77%</w:t>
            </w:r>
          </w:p>
        </w:tc>
      </w:tr>
      <w:tr>
        <w:tc>
          <w:tcPr>
            <w:tcW w:type="dxa" w:w="2078"/>
          </w:tcPr>
          <w:p>
            <w:pPr>
              <w:spacing w:line="240" w:lineRule="auto" w:before="20" w:after="20"/>
              <w:jc w:val="left"/>
            </w:pPr>
            <w:r/>
            <w:r>
              <w:rPr>
                <w:rFonts w:ascii="Times New Roman" w:hAnsi="Times New Roman" w:eastAsia="宋体"/>
                <w:b w:val="0"/>
                <w:color w:val="000000"/>
                <w:sz w:val="21"/>
              </w:rPr>
              <w:t>追涨策略</w:t>
            </w:r>
          </w:p>
        </w:tc>
        <w:tc>
          <w:tcPr>
            <w:tcW w:type="dxa" w:w="2078"/>
          </w:tcPr>
          <w:p>
            <w:pPr>
              <w:spacing w:line="240" w:lineRule="auto" w:before="20" w:after="20"/>
              <w:jc w:val="right"/>
            </w:pPr>
            <w:r/>
            <w:r>
              <w:rPr>
                <w:rFonts w:ascii="Times New Roman" w:hAnsi="Times New Roman" w:eastAsia="宋体"/>
                <w:b w:val="0"/>
                <w:color w:val="000000"/>
                <w:sz w:val="21"/>
              </w:rPr>
              <w:t>+1.67%</w:t>
            </w:r>
          </w:p>
        </w:tc>
        <w:tc>
          <w:tcPr>
            <w:tcW w:type="dxa" w:w="2078"/>
          </w:tcPr>
          <w:p>
            <w:pPr>
              <w:spacing w:line="240" w:lineRule="auto" w:before="20" w:after="20"/>
              <w:jc w:val="right"/>
            </w:pPr>
            <w:r/>
            <w:r>
              <w:rPr>
                <w:rFonts w:ascii="Times New Roman" w:hAnsi="Times New Roman" w:eastAsia="宋体"/>
                <w:b w:val="0"/>
                <w:color w:val="000000"/>
                <w:sz w:val="21"/>
              </w:rPr>
              <w:t>+5.09%</w:t>
            </w:r>
          </w:p>
        </w:tc>
        <w:tc>
          <w:tcPr>
            <w:tcW w:type="dxa" w:w="2078"/>
          </w:tcPr>
          <w:p>
            <w:pPr>
              <w:spacing w:line="240" w:lineRule="auto" w:before="20" w:after="20"/>
              <w:jc w:val="right"/>
            </w:pPr>
            <w:r/>
            <w:r>
              <w:rPr>
                <w:rFonts w:ascii="Times New Roman" w:hAnsi="Times New Roman" w:eastAsia="宋体"/>
                <w:b w:val="0"/>
                <w:color w:val="000000"/>
                <w:sz w:val="21"/>
              </w:rPr>
              <w:t>−2.89%</w:t>
            </w:r>
          </w:p>
        </w:tc>
      </w:tr>
    </w:tbl>
    <w:p>
      <w:pPr>
        <w:spacing w:before="0"/>
      </w:pPr>
    </w:p>
    <w:p>
      <w:pPr>
        <w:spacing w:line="300" w:lineRule="auto" w:before="140" w:after="0"/>
        <w:ind w:firstLine="560"/>
        <w:jc w:val="left"/>
      </w:pPr>
      <w:r>
        <w:rPr>
          <w:rFonts w:ascii="Times New Roman" w:hAnsi="Times New Roman" w:eastAsia="宋体"/>
          <w:b w:val="0"/>
          <w:color w:val="000000"/>
          <w:sz w:val="28"/>
        </w:rPr>
        <w:t>表 14 显示四个正向策略在三年中大多为正，追涨与最高价策略在 2024 与 2026 年为负。一个值得留意的细节是低风险策略在 2026 年转为 −0.92%：它提示"低波动"在特定年份并不等于"低损失"，当市场整体下行时低波动品种同样可能录得负收益。这与第四（六）节 2026 折表现下降的方向一致，共同指向市场结构的年份差异。由于每年仅约 10 个观测，本表只作参照。</w:t>
      </w:r>
    </w:p>
    <w:p>
      <w:pPr>
        <w:pStyle w:val="Heading2"/>
        <w:spacing w:line="300" w:lineRule="auto" w:before="200" w:after="80"/>
      </w:pPr>
      <w:r>
        <w:rPr>
          <w:rFonts w:ascii="Times New Roman" w:hAnsi="Times New Roman" w:eastAsia="黑体"/>
          <w:b/>
          <w:color w:val="000000"/>
          <w:sz w:val="28"/>
        </w:rPr>
        <w:t>（四）随机基准的多种子实现分布</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随机策略的解析期望与实现分布（500 次固定规则重复）</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rPr>
          <w:tblHeader w:val="true"/>
        </w:trPr>
        <w:tc>
          <w:tcPr>
            <w:tcW w:type="dxa" w:w="1385"/>
          </w:tcPr>
          <w:p>
            <w:pPr>
              <w:spacing w:line="240" w:lineRule="auto" w:before="20" w:after="20"/>
              <w:jc w:val="center"/>
            </w:pPr>
            <w:r/>
            <w:r>
              <w:rPr>
                <w:rFonts w:ascii="Times New Roman" w:hAnsi="Times New Roman" w:eastAsia="宋体"/>
                <w:b/>
                <w:color w:val="000000"/>
                <w:sz w:val="21"/>
              </w:rPr>
              <w:t>口径</w:t>
            </w:r>
          </w:p>
        </w:tc>
        <w:tc>
          <w:tcPr>
            <w:tcW w:type="dxa" w:w="1385"/>
          </w:tcPr>
          <w:p>
            <w:pPr>
              <w:spacing w:line="240" w:lineRule="auto" w:before="20" w:after="20"/>
              <w:jc w:val="center"/>
            </w:pPr>
            <w:r/>
            <w:r>
              <w:rPr>
                <w:rFonts w:ascii="Times New Roman" w:hAnsi="Times New Roman" w:eastAsia="宋体"/>
                <w:b/>
                <w:color w:val="000000"/>
                <w:sz w:val="21"/>
              </w:rPr>
              <w:t>500 次均值</w:t>
            </w:r>
          </w:p>
        </w:tc>
        <w:tc>
          <w:tcPr>
            <w:tcW w:type="dxa" w:w="1385"/>
          </w:tcPr>
          <w:p>
            <w:pPr>
              <w:spacing w:line="240" w:lineRule="auto" w:before="20" w:after="20"/>
              <w:jc w:val="center"/>
            </w:pPr>
            <w:r/>
            <w:r>
              <w:rPr>
                <w:rFonts w:ascii="Times New Roman" w:hAnsi="Times New Roman" w:eastAsia="宋体"/>
                <w:b/>
                <w:color w:val="000000"/>
                <w:sz w:val="21"/>
              </w:rPr>
              <w:t>2.5%—97.5% 分位</w:t>
            </w:r>
          </w:p>
        </w:tc>
        <w:tc>
          <w:tcPr>
            <w:tcW w:type="dxa" w:w="1385"/>
          </w:tcPr>
          <w:p>
            <w:pPr>
              <w:spacing w:line="240" w:lineRule="auto" w:before="20" w:after="20"/>
              <w:jc w:val="center"/>
            </w:pPr>
            <w:r/>
            <w:r>
              <w:rPr>
                <w:rFonts w:ascii="Times New Roman" w:hAnsi="Times New Roman" w:eastAsia="宋体"/>
                <w:b/>
                <w:color w:val="000000"/>
                <w:sz w:val="21"/>
              </w:rPr>
              <w:t>单次标准差</w:t>
            </w:r>
          </w:p>
        </w:tc>
        <w:tc>
          <w:tcPr>
            <w:tcW w:type="dxa" w:w="1385"/>
          </w:tcPr>
          <w:p>
            <w:pPr>
              <w:spacing w:line="240" w:lineRule="auto" w:before="20" w:after="20"/>
              <w:jc w:val="center"/>
            </w:pPr>
            <w:r/>
            <w:r>
              <w:rPr>
                <w:rFonts w:ascii="Times New Roman" w:hAnsi="Times New Roman" w:eastAsia="宋体"/>
                <w:b/>
                <w:color w:val="000000"/>
                <w:sz w:val="21"/>
              </w:rPr>
              <w:t>最差单次</w:t>
            </w:r>
          </w:p>
        </w:tc>
        <w:tc>
          <w:tcPr>
            <w:tcW w:type="dxa" w:w="1385"/>
          </w:tcPr>
          <w:p>
            <w:pPr>
              <w:spacing w:line="240" w:lineRule="auto" w:before="20" w:after="20"/>
              <w:jc w:val="center"/>
            </w:pPr>
            <w:r/>
            <w:r>
              <w:rPr>
                <w:rFonts w:ascii="Times New Roman" w:hAnsi="Times New Roman" w:eastAsia="宋体"/>
                <w:b/>
                <w:color w:val="000000"/>
                <w:sz w:val="21"/>
              </w:rPr>
              <w:t>平均下跌概率</w:t>
            </w:r>
          </w:p>
        </w:tc>
      </w:tr>
      <w:tr>
        <w:tc>
          <w:tcPr>
            <w:tcW w:type="dxa" w:w="1385"/>
          </w:tcPr>
          <w:p>
            <w:pPr>
              <w:spacing w:line="240" w:lineRule="auto" w:before="20" w:after="20"/>
              <w:jc w:val="left"/>
            </w:pPr>
            <w:r/>
            <w:r>
              <w:rPr>
                <w:rFonts w:ascii="Times New Roman" w:hAnsi="Times New Roman" w:eastAsia="宋体"/>
                <w:b w:val="0"/>
                <w:color w:val="000000"/>
                <w:sz w:val="21"/>
              </w:rPr>
              <w:t>128 切点</w:t>
            </w:r>
          </w:p>
        </w:tc>
        <w:tc>
          <w:tcPr>
            <w:tcW w:type="dxa" w:w="1385"/>
          </w:tcPr>
          <w:p>
            <w:pPr>
              <w:spacing w:line="240" w:lineRule="auto" w:before="20" w:after="20"/>
              <w:jc w:val="right"/>
            </w:pPr>
            <w:r/>
            <w:r>
              <w:rPr>
                <w:rFonts w:ascii="Times New Roman" w:hAnsi="Times New Roman" w:eastAsia="宋体"/>
                <w:b w:val="0"/>
                <w:color w:val="000000"/>
                <w:sz w:val="21"/>
              </w:rPr>
              <w:t>+1.12%</w:t>
            </w:r>
          </w:p>
        </w:tc>
        <w:tc>
          <w:tcPr>
            <w:tcW w:type="dxa" w:w="1385"/>
          </w:tcPr>
          <w:p>
            <w:pPr>
              <w:spacing w:line="240" w:lineRule="auto" w:before="20" w:after="20"/>
              <w:jc w:val="left"/>
            </w:pPr>
            <w:r/>
            <w:r>
              <w:rPr>
                <w:rFonts w:ascii="Times New Roman" w:hAnsi="Times New Roman" w:eastAsia="宋体"/>
                <w:b w:val="0"/>
                <w:color w:val="000000"/>
                <w:sz w:val="21"/>
              </w:rPr>
              <w:t>[−1.05%, +3.27%]</w:t>
            </w:r>
          </w:p>
        </w:tc>
        <w:tc>
          <w:tcPr>
            <w:tcW w:type="dxa" w:w="1385"/>
          </w:tcPr>
          <w:p>
            <w:pPr>
              <w:spacing w:line="240" w:lineRule="auto" w:before="20" w:after="20"/>
              <w:jc w:val="right"/>
            </w:pPr>
            <w:r/>
            <w:r>
              <w:rPr>
                <w:rFonts w:ascii="Times New Roman" w:hAnsi="Times New Roman" w:eastAsia="宋体"/>
                <w:b w:val="0"/>
                <w:color w:val="000000"/>
                <w:sz w:val="21"/>
              </w:rPr>
              <w:t>1.12%</w:t>
            </w:r>
          </w:p>
        </w:tc>
        <w:tc>
          <w:tcPr>
            <w:tcW w:type="dxa" w:w="1385"/>
          </w:tcPr>
          <w:p>
            <w:pPr>
              <w:spacing w:line="240" w:lineRule="auto" w:before="20" w:after="20"/>
              <w:jc w:val="right"/>
            </w:pPr>
            <w:r/>
            <w:r>
              <w:rPr>
                <w:rFonts w:ascii="Times New Roman" w:hAnsi="Times New Roman" w:eastAsia="宋体"/>
                <w:b w:val="0"/>
                <w:color w:val="000000"/>
                <w:sz w:val="21"/>
              </w:rPr>
              <w:t>−2.27%</w:t>
            </w:r>
          </w:p>
        </w:tc>
        <w:tc>
          <w:tcPr>
            <w:tcW w:type="dxa" w:w="1385"/>
          </w:tcPr>
          <w:p>
            <w:pPr>
              <w:spacing w:line="240" w:lineRule="auto" w:before="20" w:after="20"/>
              <w:jc w:val="right"/>
            </w:pPr>
            <w:r/>
            <w:r>
              <w:rPr>
                <w:rFonts w:ascii="Times New Roman" w:hAnsi="Times New Roman" w:eastAsia="宋体"/>
                <w:b w:val="0"/>
                <w:color w:val="000000"/>
                <w:sz w:val="21"/>
              </w:rPr>
              <w:t>53.0%</w:t>
            </w:r>
          </w:p>
        </w:tc>
      </w:tr>
      <w:tr>
        <w:tc>
          <w:tcPr>
            <w:tcW w:type="dxa" w:w="1385"/>
          </w:tcPr>
          <w:p>
            <w:pPr>
              <w:spacing w:line="240" w:lineRule="auto" w:before="20" w:after="20"/>
              <w:jc w:val="left"/>
            </w:pPr>
            <w:r/>
            <w:r>
              <w:rPr>
                <w:rFonts w:ascii="Times New Roman" w:hAnsi="Times New Roman" w:eastAsia="宋体"/>
                <w:b w:val="0"/>
                <w:color w:val="000000"/>
                <w:sz w:val="21"/>
              </w:rPr>
              <w:t>31 切点</w:t>
            </w:r>
          </w:p>
        </w:tc>
        <w:tc>
          <w:tcPr>
            <w:tcW w:type="dxa" w:w="1385"/>
          </w:tcPr>
          <w:p>
            <w:pPr>
              <w:spacing w:line="240" w:lineRule="auto" w:before="20" w:after="20"/>
              <w:jc w:val="right"/>
            </w:pPr>
            <w:r/>
            <w:r>
              <w:rPr>
                <w:rFonts w:ascii="Times New Roman" w:hAnsi="Times New Roman" w:eastAsia="宋体"/>
                <w:b w:val="0"/>
                <w:color w:val="000000"/>
                <w:sz w:val="21"/>
              </w:rPr>
              <w:t>+0.92%</w:t>
            </w:r>
          </w:p>
        </w:tc>
        <w:tc>
          <w:tcPr>
            <w:tcW w:type="dxa" w:w="1385"/>
          </w:tcPr>
          <w:p>
            <w:pPr>
              <w:spacing w:line="240" w:lineRule="auto" w:before="20" w:after="20"/>
              <w:jc w:val="left"/>
            </w:pPr>
            <w:r/>
            <w:r>
              <w:rPr>
                <w:rFonts w:ascii="Times New Roman" w:hAnsi="Times New Roman" w:eastAsia="宋体"/>
                <w:b w:val="0"/>
                <w:color w:val="000000"/>
                <w:sz w:val="21"/>
              </w:rPr>
              <w:t>[−3.23%, +5.42%]</w:t>
            </w:r>
          </w:p>
        </w:tc>
        <w:tc>
          <w:tcPr>
            <w:tcW w:type="dxa" w:w="1385"/>
          </w:tcPr>
          <w:p>
            <w:pPr>
              <w:spacing w:line="240" w:lineRule="auto" w:before="20" w:after="20"/>
              <w:jc w:val="right"/>
            </w:pPr>
            <w:r/>
            <w:r>
              <w:rPr>
                <w:rFonts w:ascii="Times New Roman" w:hAnsi="Times New Roman" w:eastAsia="宋体"/>
                <w:b w:val="0"/>
                <w:color w:val="000000"/>
                <w:sz w:val="21"/>
              </w:rPr>
              <w:t>2.26%</w:t>
            </w:r>
          </w:p>
        </w:tc>
        <w:tc>
          <w:tcPr>
            <w:tcW w:type="dxa" w:w="1385"/>
          </w:tcPr>
          <w:p>
            <w:pPr>
              <w:spacing w:line="240" w:lineRule="auto" w:before="20" w:after="20"/>
              <w:jc w:val="right"/>
            </w:pPr>
            <w:r/>
            <w:r>
              <w:rPr>
                <w:rFonts w:ascii="Times New Roman" w:hAnsi="Times New Roman" w:eastAsia="宋体"/>
                <w:b w:val="0"/>
                <w:color w:val="000000"/>
                <w:sz w:val="21"/>
              </w:rPr>
              <w:t>−5.04%</w:t>
            </w:r>
          </w:p>
        </w:tc>
        <w:tc>
          <w:tcPr>
            <w:tcW w:type="dxa" w:w="1385"/>
          </w:tcPr>
          <w:p>
            <w:pPr>
              <w:spacing w:line="240" w:lineRule="auto" w:before="20" w:after="20"/>
              <w:jc w:val="right"/>
            </w:pPr>
            <w:r/>
            <w:r>
              <w:rPr>
                <w:rFonts w:ascii="Times New Roman" w:hAnsi="Times New Roman" w:eastAsia="宋体"/>
                <w:b w:val="0"/>
                <w:color w:val="000000"/>
                <w:sz w:val="21"/>
              </w:rPr>
              <w:t>52.1%</w:t>
            </w:r>
          </w:p>
        </w:tc>
      </w:tr>
    </w:tbl>
    <w:p>
      <w:pPr>
        <w:spacing w:before="0"/>
      </w:pPr>
    </w:p>
    <w:p>
      <w:pPr>
        <w:spacing w:line="300" w:lineRule="auto" w:before="140" w:after="0"/>
        <w:ind w:firstLine="560"/>
        <w:jc w:val="left"/>
      </w:pPr>
      <w:r>
        <w:rPr>
          <w:rFonts w:ascii="Times New Roman" w:hAnsi="Times New Roman" w:eastAsia="宋体"/>
          <w:b w:val="0"/>
          <w:color w:val="000000"/>
          <w:sz w:val="28"/>
        </w:rPr>
        <w:t>表 15 的第一个作用是验证基准设定：多种子均值（+1.12% 与 +0.92%）与解析期望（+1.11% 与 +0.92%）高度一致，说明基准定义稳定。第二个作用是提醒解读方式：随机策略单次最差可达 −5.04%，因此"某一次回测表现很好"不构成证据，评价必须基于完整分布。本文对随机策略的高 HRI 命中率采用池内占比口径（约 10%），而不是把占比按阈值转为布尔值——后者会使该指标恒等于 1，失去区分能力。</w:t>
      </w:r>
    </w:p>
    <w:p>
      <w:pPr>
        <w:pStyle w:val="Heading2"/>
        <w:spacing w:line="300" w:lineRule="auto" w:before="200" w:after="80"/>
      </w:pPr>
      <w:r>
        <w:rPr>
          <w:rFonts w:ascii="Times New Roman" w:hAnsi="Times New Roman" w:eastAsia="黑体"/>
          <w:b/>
          <w:color w:val="000000"/>
          <w:sz w:val="28"/>
        </w:rPr>
        <w:t>（五）排序口径的对照实验</w:t>
      </w:r>
    </w:p>
    <w:p>
      <w:pPr>
        <w:spacing w:line="300" w:lineRule="auto" w:before="140" w:after="0"/>
        <w:ind w:firstLine="560"/>
        <w:jc w:val="left"/>
      </w:pPr>
      <w:r>
        <w:rPr>
          <w:rFonts w:ascii="Times New Roman" w:hAnsi="Times New Roman" w:eastAsia="宋体"/>
          <w:b w:val="0"/>
          <w:color w:val="000000"/>
          <w:sz w:val="28"/>
        </w:rPr>
        <w:t>为量化"以绝对价格水平排序"这一口径的影响，本文在完全相同的候选池、同一切点、同一 HRI 下，仅替换策略打分公式。</w:t>
      </w:r>
    </w:p>
    <w:p>
      <w:pPr>
        <w:spacing w:line="240" w:lineRule="auto" w:before="160" w:after="80"/>
        <w:jc w:val="center"/>
      </w:pPr>
      <w:r>
        <w:rPr>
          <w:rFonts w:ascii="Times New Roman" w:hAnsi="Times New Roman" w:eastAsia="宋体"/>
          <w:b/>
          <w:color w:val="000000"/>
          <w:sz w:val="24"/>
        </w:rPr>
        <w:t xml:space="preserve">表 </w:t>
      </w:r>
      <w:r>
        <w:fldChar w:fldCharType="begin"/>
        <w:instrText xml:space="preserve">SEQ 表 \* ARABIC</w:instrText>
        <w:fldChar w:fldCharType="separate"/>
        <w:t>（Word 打开时自动更新）</w:t>
        <w:fldChar w:fldCharType="end"/>
      </w:r>
      <w:r>
        <w:rPr>
          <w:rFonts w:ascii="Times New Roman" w:hAnsi="Times New Roman" w:eastAsia="宋体"/>
          <w:b/>
          <w:color w:val="000000"/>
          <w:sz w:val="24"/>
        </w:rPr>
        <w:t xml:space="preserve">　排序口径的对照实验（同一预测、不同排序口径）</w:t>
      </w:r>
    </w:p>
    <w:tbl>
      <w:tblPr>
        <w:tblStyle w:val="TableGrid"/>
        <w:tblW w:type="auto" w:w="0"/>
        <w:jc w:val="center"/>
        <w:tblLook w:firstColumn="1" w:firstRow="1" w:lastColumn="0" w:lastRow="0" w:noHBand="0" w:noVBand="1" w:val="04A0"/>
      </w:tblPr>
      <w:tblGrid>
        <w:gridCol w:w="2771"/>
        <w:gridCol w:w="2771"/>
        <w:gridCol w:w="2771"/>
      </w:tblGrid>
      <w:tr>
        <w:trPr>
          <w:tblHeader w:val="true"/>
        </w:trPr>
        <w:tc>
          <w:tcPr>
            <w:tcW w:type="dxa" w:w="2771"/>
          </w:tcPr>
          <w:p>
            <w:pPr>
              <w:spacing w:line="240" w:lineRule="auto" w:before="20" w:after="20"/>
              <w:jc w:val="center"/>
            </w:pPr>
            <w:r/>
            <w:r>
              <w:rPr>
                <w:rFonts w:ascii="Times New Roman" w:hAnsi="Times New Roman" w:eastAsia="宋体"/>
                <w:b/>
                <w:color w:val="000000"/>
                <w:sz w:val="21"/>
              </w:rPr>
              <w:t>口径</w:t>
            </w:r>
          </w:p>
        </w:tc>
        <w:tc>
          <w:tcPr>
            <w:tcW w:type="dxa" w:w="2771"/>
          </w:tcPr>
          <w:p>
            <w:pPr>
              <w:spacing w:line="240" w:lineRule="auto" w:before="20" w:after="20"/>
              <w:jc w:val="center"/>
            </w:pPr>
            <w:r/>
            <w:r>
              <w:rPr>
                <w:rFonts w:ascii="Times New Roman" w:hAnsi="Times New Roman" w:eastAsia="宋体"/>
                <w:b/>
                <w:color w:val="000000"/>
                <w:sz w:val="21"/>
              </w:rPr>
              <w:t>选绝对价格最高（最高价策略）</w:t>
            </w:r>
          </w:p>
        </w:tc>
        <w:tc>
          <w:tcPr>
            <w:tcW w:type="dxa" w:w="2771"/>
          </w:tcPr>
          <w:p>
            <w:pPr>
              <w:spacing w:line="240" w:lineRule="auto" w:before="20" w:after="20"/>
              <w:jc w:val="center"/>
            </w:pPr>
            <w:r/>
            <w:r>
              <w:rPr>
                <w:rFonts w:ascii="Times New Roman" w:hAnsi="Times New Roman" w:eastAsia="宋体"/>
                <w:b/>
                <w:color w:val="000000"/>
                <w:sz w:val="21"/>
              </w:rPr>
              <w:t>选预测相对收益最高（相对收益策略）</w:t>
            </w:r>
          </w:p>
        </w:tc>
      </w:tr>
      <w:tr>
        <w:tc>
          <w:tcPr>
            <w:tcW w:type="dxa" w:w="2771"/>
          </w:tcPr>
          <w:p>
            <w:pPr>
              <w:spacing w:line="240" w:lineRule="auto" w:before="20" w:after="20"/>
              <w:jc w:val="left"/>
            </w:pPr>
            <w:r/>
            <w:r>
              <w:rPr>
                <w:rFonts w:ascii="Times New Roman" w:hAnsi="Times New Roman" w:eastAsia="宋体"/>
                <w:b w:val="0"/>
                <w:color w:val="000000"/>
                <w:sz w:val="21"/>
              </w:rPr>
              <w:t>128 切点</w:t>
            </w:r>
          </w:p>
        </w:tc>
        <w:tc>
          <w:tcPr>
            <w:tcW w:type="dxa" w:w="2771"/>
          </w:tcPr>
          <w:p>
            <w:pPr>
              <w:spacing w:line="240" w:lineRule="auto" w:before="20" w:after="20"/>
              <w:jc w:val="right"/>
            </w:pPr>
            <w:r/>
            <w:r>
              <w:rPr>
                <w:rFonts w:ascii="Times New Roman" w:hAnsi="Times New Roman" w:eastAsia="宋体"/>
                <w:b w:val="0"/>
                <w:color w:val="000000"/>
                <w:sz w:val="21"/>
              </w:rPr>
              <w:t>−2.17%</w:t>
            </w:r>
          </w:p>
        </w:tc>
        <w:tc>
          <w:tcPr>
            <w:tcW w:type="dxa" w:w="2771"/>
          </w:tcPr>
          <w:p>
            <w:pPr>
              <w:spacing w:line="240" w:lineRule="auto" w:before="20" w:after="20"/>
              <w:jc w:val="right"/>
            </w:pPr>
            <w:r/>
            <w:r>
              <w:rPr>
                <w:rFonts w:ascii="Times New Roman" w:hAnsi="Times New Roman" w:eastAsia="宋体"/>
                <w:b w:val="0"/>
                <w:color w:val="000000"/>
                <w:sz w:val="21"/>
              </w:rPr>
              <w:t>+11.77%</w:t>
            </w:r>
          </w:p>
        </w:tc>
      </w:tr>
      <w:tr>
        <w:tc>
          <w:tcPr>
            <w:tcW w:type="dxa" w:w="2771"/>
          </w:tcPr>
          <w:p>
            <w:pPr>
              <w:spacing w:line="240" w:lineRule="auto" w:before="20" w:after="20"/>
              <w:jc w:val="left"/>
            </w:pPr>
            <w:r/>
            <w:r>
              <w:rPr>
                <w:rFonts w:ascii="Times New Roman" w:hAnsi="Times New Roman" w:eastAsia="宋体"/>
                <w:b w:val="0"/>
                <w:color w:val="000000"/>
                <w:sz w:val="21"/>
              </w:rPr>
              <w:t>31 切点</w:t>
            </w:r>
          </w:p>
        </w:tc>
        <w:tc>
          <w:tcPr>
            <w:tcW w:type="dxa" w:w="2771"/>
          </w:tcPr>
          <w:p>
            <w:pPr>
              <w:spacing w:line="240" w:lineRule="auto" w:before="20" w:after="20"/>
              <w:jc w:val="right"/>
            </w:pPr>
            <w:r/>
            <w:r>
              <w:rPr>
                <w:rFonts w:ascii="Times New Roman" w:hAnsi="Times New Roman" w:eastAsia="宋体"/>
                <w:b w:val="0"/>
                <w:color w:val="000000"/>
                <w:sz w:val="21"/>
              </w:rPr>
              <w:t>−2.40%</w:t>
            </w:r>
          </w:p>
        </w:tc>
        <w:tc>
          <w:tcPr>
            <w:tcW w:type="dxa" w:w="2771"/>
          </w:tcPr>
          <w:p>
            <w:pPr>
              <w:spacing w:line="240" w:lineRule="auto" w:before="20" w:after="20"/>
              <w:jc w:val="right"/>
            </w:pPr>
            <w:r/>
            <w:r>
              <w:rPr>
                <w:rFonts w:ascii="Times New Roman" w:hAnsi="Times New Roman" w:eastAsia="宋体"/>
                <w:b w:val="0"/>
                <w:color w:val="000000"/>
                <w:sz w:val="21"/>
              </w:rPr>
              <w:t>+10.24%</w:t>
            </w:r>
          </w:p>
        </w:tc>
      </w:tr>
    </w:tbl>
    <w:p>
      <w:pPr>
        <w:spacing w:before="0"/>
      </w:pPr>
    </w:p>
    <w:p>
      <w:pPr>
        <w:spacing w:line="300" w:lineRule="auto" w:before="140" w:after="0"/>
        <w:ind w:firstLine="560"/>
        <w:jc w:val="left"/>
      </w:pPr>
      <w:r>
        <w:rPr>
          <w:rFonts w:ascii="Times New Roman" w:hAnsi="Times New Roman" w:eastAsia="宋体"/>
          <w:b w:val="0"/>
          <w:color w:val="000000"/>
          <w:sz w:val="28"/>
        </w:rPr>
        <w:t>表 16 说明同一份预测仅因排序口径不同，策略表现即由负转正（后者在 128 切点口径下显著）。这与表 13 相互印证：绝对价格口径使策略退化为固定的品种规则，既失去信息含量也失去收益。对跨品种研究而言，若沿用绝对价格水平排序，会得到"预测没有价值"的结论，而真实原因只是排序方式错误。</w:t>
      </w:r>
    </w:p>
    <w:p>
      <w:pPr>
        <w:pStyle w:val="Heading1"/>
        <w:spacing w:line="300" w:lineRule="auto" w:before="240" w:after="120"/>
        <w:jc w:val="left"/>
      </w:pPr>
      <w:r>
        <w:rPr>
          <w:rFonts w:ascii="Times New Roman" w:hAnsi="Times New Roman" w:eastAsia="黑体"/>
          <w:b/>
          <w:color w:val="000000"/>
          <w:sz w:val="30"/>
        </w:rPr>
        <w:t>九、经济解释与政策建议</w:t>
      </w:r>
    </w:p>
    <w:p>
      <w:pPr>
        <w:pStyle w:val="Heading2"/>
        <w:spacing w:line="300" w:lineRule="auto" w:before="200" w:after="80"/>
      </w:pPr>
      <w:r>
        <w:rPr>
          <w:rFonts w:ascii="Times New Roman" w:hAnsi="Times New Roman" w:eastAsia="黑体"/>
          <w:b/>
          <w:color w:val="000000"/>
          <w:sz w:val="28"/>
        </w:rPr>
        <w:t>（一）实证发现与经济学解释的分工</w:t>
      </w:r>
    </w:p>
    <w:p>
      <w:pPr>
        <w:spacing w:line="300" w:lineRule="auto" w:before="140" w:after="0"/>
        <w:ind w:firstLine="560"/>
        <w:jc w:val="left"/>
      </w:pPr>
      <w:r>
        <w:rPr>
          <w:rFonts w:ascii="Times New Roman" w:hAnsi="Times New Roman" w:eastAsia="宋体"/>
          <w:b w:val="0"/>
          <w:color w:val="000000"/>
          <w:sz w:val="28"/>
        </w:rPr>
        <w:t>本文对各项发现按证据强度区分三类陈述：数据直接支持的结论、经济理论提供的解释、以及仍需未来数据检验的推测。后文逐处标注其归属，以免把机制解释当作已检验的发现。</w:t>
      </w:r>
    </w:p>
    <w:p>
      <w:pPr>
        <w:spacing w:line="300" w:lineRule="auto" w:before="140" w:after="0"/>
        <w:ind w:firstLine="560"/>
        <w:jc w:val="left"/>
      </w:pPr>
      <w:r>
        <w:rPr>
          <w:rFonts w:ascii="Times New Roman" w:hAnsi="Times New Roman" w:eastAsia="宋体"/>
          <w:b/>
          <w:color w:val="000000"/>
          <w:sz w:val="28"/>
        </w:rPr>
        <w:t>第一类是数据直接支持的结论</w:t>
      </w:r>
      <w:r>
        <w:rPr>
          <w:rFonts w:ascii="Times New Roman" w:hAnsi="Times New Roman" w:eastAsia="宋体"/>
          <w:b w:val="0"/>
          <w:color w:val="000000"/>
          <w:sz w:val="28"/>
        </w:rPr>
        <w:t>：例如 HRI 与未来 12 周收益存在校正后仍显著的负向关联（5/10 品种）；例如在不重叠口径下没有任何策略显著优于随机基准。这些结论不依赖额外理论假设。</w:t>
      </w:r>
    </w:p>
    <w:p>
      <w:pPr>
        <w:spacing w:line="300" w:lineRule="auto" w:before="140" w:after="0"/>
        <w:ind w:firstLine="560"/>
        <w:jc w:val="left"/>
      </w:pPr>
      <w:r>
        <w:rPr>
          <w:rFonts w:ascii="Times New Roman" w:hAnsi="Times New Roman" w:eastAsia="宋体"/>
          <w:b/>
          <w:color w:val="000000"/>
          <w:sz w:val="28"/>
        </w:rPr>
        <w:t>第二类是经济理论提供的解释</w:t>
      </w:r>
      <w:r>
        <w:rPr>
          <w:rFonts w:ascii="Times New Roman" w:hAnsi="Times New Roman" w:eastAsia="宋体"/>
          <w:b w:val="0"/>
          <w:color w:val="000000"/>
          <w:sz w:val="28"/>
        </w:rPr>
        <w:t>：蛛网理论与适应性预期理论可以解释为什么"高价且快涨"之后收益可能更低——供给对价格的反应存在时滞，价格上行期容易形成偏乐观的生产计划，待产品上市时供给已增加[1,2]。这类解释说明机制的可能性，不等于本文已经检验了该机制。</w:t>
      </w:r>
    </w:p>
    <w:p>
      <w:pPr>
        <w:spacing w:line="300" w:lineRule="auto" w:before="140" w:after="0"/>
        <w:ind w:firstLine="560"/>
        <w:jc w:val="left"/>
      </w:pPr>
      <w:r>
        <w:rPr>
          <w:rFonts w:ascii="Times New Roman" w:hAnsi="Times New Roman" w:eastAsia="宋体"/>
          <w:b/>
          <w:color w:val="000000"/>
          <w:sz w:val="28"/>
        </w:rPr>
        <w:t>第三类是仍需未来数据检验的推测</w:t>
      </w:r>
      <w:r>
        <w:rPr>
          <w:rFonts w:ascii="Times New Roman" w:hAnsi="Times New Roman" w:eastAsia="宋体"/>
          <w:b w:val="0"/>
          <w:color w:val="000000"/>
          <w:sz w:val="28"/>
        </w:rPr>
        <w:t>：例如本文观察到的 12 周窗口强于 4 周窗口，可能与蔬菜生产与流通的调整周期有关，但本文没有对传导时滞做直接估计；例如前向验证中 2026 折表现下降，可能与市场结构变化有关，但本文缺少结构断点的正式检验。这些推测在文中均明确标注。</w:t>
      </w:r>
    </w:p>
    <w:p>
      <w:pPr>
        <w:pStyle w:val="Heading2"/>
        <w:spacing w:line="300" w:lineRule="auto" w:before="200" w:after="80"/>
      </w:pPr>
      <w:r>
        <w:rPr>
          <w:rFonts w:ascii="Times New Roman" w:hAnsi="Times New Roman" w:eastAsia="黑体"/>
          <w:b/>
          <w:color w:val="000000"/>
          <w:sz w:val="28"/>
        </w:rPr>
        <w:t>（二）追高为何表现为风险</w:t>
      </w:r>
    </w:p>
    <w:p>
      <w:pPr>
        <w:spacing w:line="300" w:lineRule="auto" w:before="140" w:after="0"/>
        <w:ind w:firstLine="560"/>
        <w:jc w:val="left"/>
      </w:pPr>
      <w:r>
        <w:rPr>
          <w:rFonts w:ascii="Times New Roman" w:hAnsi="Times New Roman" w:eastAsia="宋体"/>
          <w:b w:val="0"/>
          <w:color w:val="000000"/>
          <w:sz w:val="28"/>
        </w:rPr>
        <w:t>数据支持的发现是：当某蔬菜价格处于历史高分位、近期涨幅居前、连续上涨天数较长时，其后续 12 周收益平均而言更低，且在 5/10 品种上通过了多重检验校正。理论提供的解释是：高价本身即构成扩种诱因，集体跟进削弱后续价格，而蔬菜生产周期较短使这种反馈在季度尺度上就可能显形[1,2]。</w:t>
      </w:r>
    </w:p>
    <w:p>
      <w:pPr>
        <w:spacing w:line="300" w:lineRule="auto" w:before="140" w:after="0"/>
        <w:ind w:firstLine="560"/>
        <w:jc w:val="left"/>
      </w:pPr>
      <w:r>
        <w:rPr>
          <w:rFonts w:ascii="Times New Roman" w:hAnsi="Times New Roman" w:eastAsia="宋体"/>
          <w:b w:val="0"/>
          <w:color w:val="000000"/>
          <w:sz w:val="28"/>
        </w:rPr>
        <w:t>这一解释与已有经验证据方向一致，但证据层级不同。闵师等发现农户对预期价格上涨的反应显著强于对预期价格下降的反应（53.92% 对 29.58%），说明"价格上涨诱发生产调整"在农户层面有调查证据[3]；本文则说明这种调整会在价格数据上留下可辨识的痕迹。但该研究基于橡胶种植户，本文基于蔬菜市场价格，两者结合只能说明机制方向，</w:t>
      </w:r>
      <w:r>
        <w:rPr>
          <w:rFonts w:ascii="Times New Roman" w:hAnsi="Times New Roman" w:eastAsia="宋体"/>
          <w:b/>
          <w:color w:val="000000"/>
          <w:sz w:val="28"/>
        </w:rPr>
        <w:t>不构成蔬菜市场的因果证据</w:t>
      </w:r>
      <w:r>
        <w:rPr>
          <w:rFonts w:ascii="Times New Roman" w:hAnsi="Times New Roman" w:eastAsia="宋体"/>
          <w:b w:val="0"/>
          <w:color w:val="000000"/>
          <w:sz w:val="28"/>
        </w:rPr>
        <w:t>。第九节其余建议均不依赖因果解释。</w:t>
      </w:r>
    </w:p>
    <w:p>
      <w:pPr>
        <w:pStyle w:val="Heading2"/>
        <w:spacing w:line="300" w:lineRule="auto" w:before="200" w:after="80"/>
      </w:pPr>
      <w:r>
        <w:rPr>
          <w:rFonts w:ascii="Times New Roman" w:hAnsi="Times New Roman" w:eastAsia="黑体"/>
          <w:b/>
          <w:color w:val="000000"/>
          <w:sz w:val="28"/>
        </w:rPr>
        <w:t>（三）简单季节策略为何难以被显著击败</w:t>
      </w:r>
    </w:p>
    <w:p>
      <w:pPr>
        <w:spacing w:line="300" w:lineRule="auto" w:before="140" w:after="0"/>
        <w:ind w:firstLine="560"/>
        <w:jc w:val="left"/>
      </w:pPr>
      <w:r>
        <w:rPr>
          <w:rFonts w:ascii="Times New Roman" w:hAnsi="Times New Roman" w:eastAsia="宋体"/>
          <w:b w:val="0"/>
          <w:color w:val="000000"/>
          <w:sz w:val="28"/>
        </w:rPr>
        <w:t>表 12 的八个配对全部不显著，成因已在第七（二）节分析：信息重复与样本量限制有直接证据，信号强度不足属推测。这里补充其经济含义。</w:t>
      </w:r>
    </w:p>
    <w:p>
      <w:pPr>
        <w:spacing w:line="300" w:lineRule="auto" w:before="140" w:after="0"/>
        <w:ind w:firstLine="560"/>
        <w:jc w:val="left"/>
      </w:pPr>
      <w:r>
        <w:rPr>
          <w:rFonts w:ascii="Times New Roman" w:hAnsi="Times New Roman" w:eastAsia="宋体"/>
          <w:b w:val="0"/>
          <w:color w:val="000000"/>
          <w:sz w:val="28"/>
        </w:rPr>
        <w:t>从农业经济角度看，这说明</w:t>
      </w:r>
      <w:r>
        <w:rPr>
          <w:rFonts w:ascii="Times New Roman" w:hAnsi="Times New Roman" w:eastAsia="宋体"/>
          <w:b/>
          <w:color w:val="000000"/>
          <w:sz w:val="28"/>
        </w:rPr>
        <w:t>品种之间的收益差异尚未大到可以被预测信息稳定捕捉的程度</w:t>
      </w:r>
      <w:r>
        <w:rPr>
          <w:rFonts w:ascii="Times New Roman" w:hAnsi="Times New Roman" w:eastAsia="宋体"/>
          <w:b w:val="0"/>
          <w:color w:val="000000"/>
          <w:sz w:val="28"/>
        </w:rPr>
        <w:t>。31 个不重叠样本约对应三年独立观察，而 30 天窗口预测误差仍在 5%—14% 之间；当预测误差与品种间收益差异处于同一量级时，排序信息难以转化为稳定的选择优势。这也与已有研究关于算法之间往往难分高下的观察一致[7]：原因常常不在算法本身，而在可用样本的信息量。</w:t>
      </w:r>
    </w:p>
    <w:p>
      <w:pPr>
        <w:spacing w:line="300" w:lineRule="auto" w:before="140" w:after="0"/>
        <w:ind w:firstLine="560"/>
        <w:jc w:val="left"/>
      </w:pPr>
      <w:r>
        <w:rPr>
          <w:rFonts w:ascii="Times New Roman" w:hAnsi="Times New Roman" w:eastAsia="宋体"/>
          <w:b w:val="0"/>
          <w:color w:val="000000"/>
          <w:sz w:val="28"/>
        </w:rPr>
        <w:t>由此得到的判断是：在当前的样本规模与信息条件下，提高模型复杂度并不是提升决策质量的有效途径。对农业经济研究的含义则是，</w:t>
      </w:r>
      <w:r>
        <w:rPr>
          <w:rFonts w:ascii="Times New Roman" w:hAnsi="Times New Roman" w:eastAsia="宋体"/>
          <w:b/>
          <w:color w:val="000000"/>
          <w:sz w:val="28"/>
        </w:rPr>
        <w:t>评价一个预测方法时应同时报告它与简单规则的比较结果</w:t>
      </w:r>
      <w:r>
        <w:rPr>
          <w:rFonts w:ascii="Times New Roman" w:hAnsi="Times New Roman" w:eastAsia="宋体"/>
          <w:b w:val="0"/>
          <w:color w:val="000000"/>
          <w:sz w:val="28"/>
        </w:rPr>
        <w:t>，否则无从判断所增加的复杂度是否产生了回报。</w:t>
      </w:r>
    </w:p>
    <w:p>
      <w:pPr>
        <w:pStyle w:val="Heading2"/>
        <w:spacing w:line="300" w:lineRule="auto" w:before="200" w:after="80"/>
      </w:pPr>
      <w:r>
        <w:rPr>
          <w:rFonts w:ascii="Times New Roman" w:hAnsi="Times New Roman" w:eastAsia="黑体"/>
          <w:b/>
          <w:color w:val="000000"/>
          <w:sz w:val="28"/>
        </w:rPr>
        <w:t>（四）对市场信息服务的建议</w:t>
      </w:r>
    </w:p>
    <w:p>
      <w:pPr>
        <w:spacing w:line="300" w:lineRule="auto" w:before="140" w:after="0"/>
        <w:ind w:firstLine="560"/>
        <w:jc w:val="left"/>
      </w:pPr>
      <w:r>
        <w:rPr>
          <w:rFonts w:ascii="Times New Roman" w:hAnsi="Times New Roman" w:eastAsia="宋体"/>
          <w:b w:val="0"/>
          <w:color w:val="000000"/>
          <w:sz w:val="28"/>
        </w:rPr>
        <w:t>基于"追高风险环境在部分品种上可识别"这一相对稳健的结果，可以给出四点与本文发现颗粒度对应的建议。</w:t>
      </w:r>
    </w:p>
    <w:p>
      <w:pPr>
        <w:spacing w:line="300" w:lineRule="auto" w:before="140" w:after="0"/>
        <w:ind w:firstLine="560"/>
        <w:jc w:val="left"/>
      </w:pPr>
      <w:r>
        <w:rPr>
          <w:rFonts w:ascii="Times New Roman" w:hAnsi="Times New Roman" w:eastAsia="宋体"/>
          <w:b/>
          <w:color w:val="000000"/>
          <w:sz w:val="28"/>
        </w:rPr>
        <w:t>第一，明确服务对象与使用场景。</w:t>
      </w:r>
      <w:r>
        <w:rPr>
          <w:rFonts w:ascii="Times New Roman" w:hAnsi="Times New Roman" w:eastAsia="宋体"/>
          <w:b w:val="0"/>
          <w:color w:val="000000"/>
          <w:sz w:val="28"/>
        </w:rPr>
        <w:t xml:space="preserve"> 适用主体是发布价格信息的市场平台，使用环节是价格监测与信息发布。平台可在发布价格的同时发布追高环境提示，定位为风险提示而非价格预测。这一建议对应第七节的发现：追高类策略在高 HRI 环境中的命中率为 21.1% 与 53.1%—54.8%，高于随机选择的约 10%，说明这种环境可以事前识别。</w:t>
      </w:r>
    </w:p>
    <w:p>
      <w:pPr>
        <w:spacing w:line="300" w:lineRule="auto" w:before="140" w:after="0"/>
        <w:ind w:firstLine="560"/>
        <w:jc w:val="left"/>
      </w:pPr>
      <w:r>
        <w:rPr>
          <w:rFonts w:ascii="Times New Roman" w:hAnsi="Times New Roman" w:eastAsia="宋体"/>
          <w:b/>
          <w:color w:val="000000"/>
          <w:sz w:val="28"/>
        </w:rPr>
        <w:t>第二，提示必须分品种发布。</w:t>
      </w:r>
      <w:r>
        <w:rPr>
          <w:rFonts w:ascii="Times New Roman" w:hAnsi="Times New Roman" w:eastAsia="宋体"/>
          <w:b w:val="0"/>
          <w:color w:val="000000"/>
          <w:sz w:val="28"/>
        </w:rPr>
        <w:t xml:space="preserve"> 本文在 12 周窗口上校正后仅 5/10 品种显著，对证据不足的品种应明确标注，而不是为了界面统一给出虚假的一致结论。</w:t>
      </w:r>
    </w:p>
    <w:p>
      <w:pPr>
        <w:spacing w:line="300" w:lineRule="auto" w:before="140" w:after="0"/>
        <w:ind w:firstLine="560"/>
        <w:jc w:val="left"/>
      </w:pPr>
      <w:r>
        <w:rPr>
          <w:rFonts w:ascii="Times New Roman" w:hAnsi="Times New Roman" w:eastAsia="宋体"/>
          <w:b/>
          <w:color w:val="000000"/>
          <w:sz w:val="28"/>
        </w:rPr>
        <w:t>第三，提示须说明自身局限。</w:t>
      </w:r>
      <w:r>
        <w:rPr>
          <w:rFonts w:ascii="Times New Roman" w:hAnsi="Times New Roman" w:eastAsia="宋体"/>
          <w:b w:val="0"/>
          <w:color w:val="000000"/>
          <w:sz w:val="28"/>
        </w:rPr>
        <w:t xml:space="preserve"> 应写明 HRI 不是价格预测、不是收益承诺，也不能用于判断农户是否跟风；理由是该指标与价格水平高度共线、未做独立增量检验，且非重叠检验在 12 周窗口未获得有效结果。</w:t>
      </w:r>
    </w:p>
    <w:p>
      <w:pPr>
        <w:spacing w:line="300" w:lineRule="auto" w:before="140" w:after="0"/>
        <w:ind w:firstLine="560"/>
        <w:jc w:val="left"/>
      </w:pPr>
      <w:r>
        <w:rPr>
          <w:rFonts w:ascii="Times New Roman" w:hAnsi="Times New Roman" w:eastAsia="宋体"/>
          <w:b/>
          <w:color w:val="000000"/>
          <w:sz w:val="28"/>
        </w:rPr>
        <w:t>第四，公布计算口径并接受外部复核。</w:t>
      </w:r>
      <w:r>
        <w:rPr>
          <w:rFonts w:ascii="Times New Roman" w:hAnsi="Times New Roman" w:eastAsia="宋体"/>
          <w:b w:val="0"/>
          <w:color w:val="000000"/>
          <w:sz w:val="28"/>
        </w:rPr>
        <w:t xml:space="preserve"> 若平台发布指标，应公开其定义与历史验证结果，使外部可以复现。</w:t>
      </w:r>
    </w:p>
    <w:p>
      <w:pPr>
        <w:spacing w:line="300" w:lineRule="auto" w:before="140" w:after="0"/>
        <w:ind w:firstLine="560"/>
        <w:jc w:val="left"/>
      </w:pPr>
      <w:r>
        <w:rPr>
          <w:rFonts w:ascii="Times New Roman" w:hAnsi="Times New Roman" w:eastAsia="宋体"/>
          <w:b w:val="0"/>
          <w:color w:val="000000"/>
          <w:sz w:val="28"/>
        </w:rPr>
        <w:t>四点建议均不包含依据 HRI 判断农户是否跟风或预测利润的内容，因为本文既未观测农户行为，也没有成本与利润数据。</w:t>
      </w:r>
    </w:p>
    <w:p>
      <w:pPr>
        <w:pStyle w:val="Heading2"/>
        <w:spacing w:line="300" w:lineRule="auto" w:before="200" w:after="80"/>
      </w:pPr>
      <w:r>
        <w:rPr>
          <w:rFonts w:ascii="Times New Roman" w:hAnsi="Times New Roman" w:eastAsia="黑体"/>
          <w:b/>
          <w:color w:val="000000"/>
          <w:sz w:val="28"/>
        </w:rPr>
        <w:t>（五）对生产者的启示</w:t>
      </w:r>
    </w:p>
    <w:p>
      <w:pPr>
        <w:spacing w:line="300" w:lineRule="auto" w:before="140" w:after="0"/>
        <w:ind w:firstLine="560"/>
        <w:jc w:val="left"/>
      </w:pPr>
      <w:r>
        <w:rPr>
          <w:rFonts w:ascii="Times New Roman" w:hAnsi="Times New Roman" w:eastAsia="宋体"/>
          <w:b w:val="0"/>
          <w:color w:val="000000"/>
          <w:sz w:val="28"/>
        </w:rPr>
        <w:t>对个体生产者，本文的结论是审慎的：</w:t>
      </w:r>
      <w:r>
        <w:rPr>
          <w:rFonts w:ascii="Times New Roman" w:hAnsi="Times New Roman" w:eastAsia="宋体"/>
          <w:b/>
          <w:color w:val="000000"/>
          <w:sz w:val="28"/>
        </w:rPr>
        <w:t>价格高、涨得快，并不等于接下来还会涨</w:t>
      </w:r>
      <w:r>
        <w:rPr>
          <w:rFonts w:ascii="Times New Roman" w:hAnsi="Times New Roman" w:eastAsia="宋体"/>
          <w:b w:val="0"/>
          <w:color w:val="000000"/>
          <w:sz w:val="28"/>
        </w:rPr>
        <w:t>。回测显示选最贵的策略在 7 天口径下显著为负，追涨策略方向一致为负。其次是风险形态：最小尾部风险策略的平均收益并非最高，但最差单次损失与下跌概率明显更优（35.5% 对随机基准的约 52%），对资金与风险承受能力有限的生产者，控制尾部损失的实务价值可能高于追求平均收益最大化。同时也应看到，2026 年这类年份低波动策略同样录得负值，任何单一风控指标都不足以应对所有市场状态。</w:t>
      </w:r>
    </w:p>
    <w:p>
      <w:pPr>
        <w:spacing w:line="300" w:lineRule="auto" w:before="140" w:after="0"/>
        <w:ind w:firstLine="560"/>
        <w:jc w:val="left"/>
      </w:pPr>
      <w:r>
        <w:rPr>
          <w:rFonts w:ascii="Times New Roman" w:hAnsi="Times New Roman" w:eastAsia="宋体"/>
          <w:b w:val="0"/>
          <w:color w:val="000000"/>
          <w:sz w:val="28"/>
        </w:rPr>
        <w:t>其次是风险的形态问题。最小尾部风险策略的平均收益并非最高，但其最差单次损失与下跌概率明显更优（下跌概率 35.5%，随机基准约 52%）。对资金与风险承受能力有限的生产者，控制尾部损失的实务价值可能高于追求平均收益最大化。同时也应看到，表 14 显示在 2026 年这类年份低波动策略同样录得负值，因此任何单一维度的风控指标都不足以应对所有市场状态。</w:t>
      </w:r>
    </w:p>
    <w:p>
      <w:pPr>
        <w:pStyle w:val="Heading2"/>
        <w:spacing w:line="300" w:lineRule="auto" w:before="200" w:after="80"/>
      </w:pPr>
      <w:r>
        <w:rPr>
          <w:rFonts w:ascii="Times New Roman" w:hAnsi="Times New Roman" w:eastAsia="黑体"/>
          <w:b/>
          <w:color w:val="000000"/>
          <w:sz w:val="28"/>
        </w:rPr>
        <w:t>（六）建议的适用条件与风险</w:t>
      </w:r>
    </w:p>
    <w:p>
      <w:pPr>
        <w:spacing w:line="300" w:lineRule="auto" w:before="140" w:after="0"/>
        <w:ind w:firstLine="560"/>
        <w:jc w:val="left"/>
      </w:pPr>
      <w:r>
        <w:rPr>
          <w:rFonts w:ascii="Times New Roman" w:hAnsi="Times New Roman" w:eastAsia="宋体"/>
          <w:b w:val="0"/>
          <w:color w:val="000000"/>
          <w:sz w:val="28"/>
        </w:rPr>
        <w:t>上述建议有前置条件。价格序列必须保持层级口径一致，若混合批发价与零售价，追高风险指标会同时反映层级差异而丧失可比性；指标必须严格使用历史信息计算，任何使用未来窗口的做法都会使其失去事前意义；由于指标在 12 周窗口校正后仅 5/10 品种显著，其表现需要定期复核。</w:t>
      </w:r>
    </w:p>
    <w:p>
      <w:pPr>
        <w:spacing w:line="300" w:lineRule="auto" w:before="140" w:after="0"/>
        <w:ind w:firstLine="560"/>
        <w:jc w:val="left"/>
      </w:pPr>
      <w:r>
        <w:rPr>
          <w:rFonts w:ascii="Times New Roman" w:hAnsi="Times New Roman" w:eastAsia="宋体"/>
          <w:b w:val="0"/>
          <w:color w:val="000000"/>
          <w:sz w:val="28"/>
        </w:rPr>
        <w:t>风险主要有三类：一是被误读为价格预测——指标衡量的是环境强度，不是"价格将下跌多少"；二是样本外衰减——验证建立在 2022—2026 年数据上，若市场结构变化，指标有效性可能下降，第四（六）与第八（三）节已观察到 2026 年的表现变化；三是幸存品种偏差——本文十个品种是当前市场的主要品种，历史上被淘汰的品种未纳入，可能使指标表现偏乐观。使用者至少应确认该提示不是唯一的决策依据。</w:t>
      </w:r>
    </w:p>
    <w:p>
      <w:pPr>
        <w:pStyle w:val="Heading2"/>
        <w:spacing w:line="300" w:lineRule="auto" w:before="200" w:after="80"/>
      </w:pPr>
      <w:r>
        <w:rPr>
          <w:rFonts w:ascii="Times New Roman" w:hAnsi="Times New Roman" w:eastAsia="黑体"/>
          <w:b/>
          <w:color w:val="000000"/>
          <w:sz w:val="28"/>
        </w:rPr>
        <w:t>（七）研究局限与后续工作</w:t>
      </w:r>
    </w:p>
    <w:p>
      <w:pPr>
        <w:spacing w:line="300" w:lineRule="auto" w:before="140" w:after="0"/>
        <w:ind w:firstLine="560"/>
        <w:jc w:val="left"/>
      </w:pPr>
      <w:r>
        <w:rPr>
          <w:rFonts w:ascii="Times New Roman" w:hAnsi="Times New Roman" w:eastAsia="宋体"/>
          <w:b/>
          <w:color w:val="000000"/>
          <w:sz w:val="28"/>
        </w:rPr>
        <w:t>第一，模型选择偏差。</w:t>
      </w:r>
      <w:r>
        <w:rPr>
          <w:rFonts w:ascii="Times New Roman" w:hAnsi="Times New Roman" w:eastAsia="宋体"/>
          <w:b w:val="0"/>
          <w:color w:val="000000"/>
          <w:sz w:val="28"/>
        </w:rPr>
        <w:t xml:space="preserve"> 最终模型由测试折指标选出，又在同一折评估；前向验证显示这一偏差并不小（平均相对改善由同折口径的 +18.9% 变为前向口径的 −4.0%）。因此本文所有预测与策略数值都应视为可能偏乐观的估计。</w:t>
      </w:r>
    </w:p>
    <w:p>
      <w:pPr>
        <w:spacing w:line="300" w:lineRule="auto" w:before="140" w:after="0"/>
        <w:ind w:firstLine="560"/>
        <w:jc w:val="left"/>
      </w:pPr>
      <w:r>
        <w:rPr>
          <w:rFonts w:ascii="Times New Roman" w:hAnsi="Times New Roman" w:eastAsia="宋体"/>
          <w:b/>
          <w:color w:val="000000"/>
          <w:sz w:val="28"/>
        </w:rPr>
        <w:t>第二，样本规模。</w:t>
      </w:r>
      <w:r>
        <w:rPr>
          <w:rFonts w:ascii="Times New Roman" w:hAnsi="Times New Roman" w:eastAsia="宋体"/>
          <w:b w:val="0"/>
          <w:color w:val="000000"/>
          <w:sz w:val="28"/>
        </w:rPr>
        <w:t xml:space="preserve"> 不重叠口径仅 31 个决策切点，限制了统计功效，也是表 12 配对检验全部不显著的重要原因之一。</w:t>
      </w:r>
    </w:p>
    <w:p>
      <w:pPr>
        <w:spacing w:line="300" w:lineRule="auto" w:before="140" w:after="0"/>
        <w:ind w:firstLine="560"/>
        <w:jc w:val="left"/>
      </w:pPr>
      <w:r>
        <w:rPr>
          <w:rFonts w:ascii="Times New Roman" w:hAnsi="Times New Roman" w:eastAsia="宋体"/>
          <w:b/>
          <w:color w:val="000000"/>
          <w:sz w:val="28"/>
        </w:rPr>
        <w:t>第三，利润缺失。</w:t>
      </w:r>
      <w:r>
        <w:rPr>
          <w:rFonts w:ascii="Times New Roman" w:hAnsi="Times New Roman" w:eastAsia="宋体"/>
          <w:b w:val="0"/>
          <w:color w:val="000000"/>
          <w:sz w:val="28"/>
        </w:rPr>
        <w:t xml:space="preserve"> 没有成本与亩产数据，无法把市场机会收益映射为经营利润。</w:t>
      </w:r>
    </w:p>
    <w:p>
      <w:pPr>
        <w:spacing w:line="300" w:lineRule="auto" w:before="140" w:after="0"/>
        <w:ind w:firstLine="560"/>
        <w:jc w:val="left"/>
      </w:pPr>
      <w:r>
        <w:rPr>
          <w:rFonts w:ascii="Times New Roman" w:hAnsi="Times New Roman" w:eastAsia="宋体"/>
          <w:b/>
          <w:color w:val="000000"/>
          <w:sz w:val="28"/>
        </w:rPr>
        <w:t>第四，行为不可观测。</w:t>
      </w:r>
      <w:r>
        <w:rPr>
          <w:rFonts w:ascii="Times New Roman" w:hAnsi="Times New Roman" w:eastAsia="宋体"/>
          <w:b w:val="0"/>
          <w:color w:val="000000"/>
          <w:sz w:val="28"/>
        </w:rPr>
        <w:t xml:space="preserve"> 没有农户扩种决策记录，不能识别真实跟风种植行为，HRI 不是跟风概率。</w:t>
      </w:r>
    </w:p>
    <w:p>
      <w:pPr>
        <w:spacing w:line="300" w:lineRule="auto" w:before="140" w:after="0"/>
        <w:ind w:firstLine="560"/>
        <w:jc w:val="left"/>
      </w:pPr>
      <w:r>
        <w:rPr>
          <w:rFonts w:ascii="Times New Roman" w:hAnsi="Times New Roman" w:eastAsia="宋体"/>
          <w:b/>
          <w:color w:val="000000"/>
          <w:sz w:val="28"/>
        </w:rPr>
        <w:t>第五，市场覆盖有限。</w:t>
      </w:r>
      <w:r>
        <w:rPr>
          <w:rFonts w:ascii="Times New Roman" w:hAnsi="Times New Roman" w:eastAsia="宋体"/>
          <w:b w:val="0"/>
          <w:color w:val="000000"/>
          <w:sz w:val="28"/>
        </w:rPr>
        <w:t xml:space="preserve"> 主结果只覆盖沈阳市、单一批发价层，不宜外推。</w:t>
      </w:r>
    </w:p>
    <w:p>
      <w:pPr>
        <w:spacing w:line="300" w:lineRule="auto" w:before="140" w:after="0"/>
        <w:ind w:firstLine="560"/>
        <w:jc w:val="left"/>
      </w:pPr>
      <w:r>
        <w:rPr>
          <w:rFonts w:ascii="Times New Roman" w:hAnsi="Times New Roman" w:eastAsia="宋体"/>
          <w:b/>
          <w:color w:val="000000"/>
          <w:sz w:val="28"/>
        </w:rPr>
        <w:t>第六，因果未识别。</w:t>
      </w:r>
      <w:r>
        <w:rPr>
          <w:rFonts w:ascii="Times New Roman" w:hAnsi="Times New Roman" w:eastAsia="宋体"/>
          <w:b w:val="0"/>
          <w:color w:val="000000"/>
          <w:sz w:val="28"/>
        </w:rPr>
        <w:t xml:space="preserve"> HRI 的验证是关联性证据，其独立于价格水平的预测贡献尚未检验。</w:t>
      </w:r>
    </w:p>
    <w:p>
      <w:pPr>
        <w:spacing w:line="300" w:lineRule="auto" w:before="140" w:after="0"/>
        <w:ind w:firstLine="560"/>
        <w:jc w:val="left"/>
      </w:pPr>
      <w:r>
        <w:rPr>
          <w:rFonts w:ascii="Times New Roman" w:hAnsi="Times New Roman" w:eastAsia="宋体"/>
          <w:b w:val="0"/>
          <w:color w:val="000000"/>
          <w:sz w:val="28"/>
        </w:rPr>
        <w:t>后续工作可沿四个方向推进：以嵌套交叉验证消除模型选择偏差；引入真实成本与亩产数据以支撑利润情景分析；在控制价格水平与季节后检验 HRI 的增量贡献；延长样本期以增加不重叠切点数量。</w:t>
      </w:r>
    </w:p>
    <w:p>
      <w:pPr>
        <w:pStyle w:val="Heading1"/>
        <w:spacing w:line="300" w:lineRule="auto" w:before="240" w:after="120"/>
        <w:jc w:val="left"/>
      </w:pPr>
      <w:r>
        <w:rPr>
          <w:rFonts w:ascii="Times New Roman" w:hAnsi="Times New Roman" w:eastAsia="黑体"/>
          <w:b/>
          <w:color w:val="000000"/>
          <w:sz w:val="30"/>
        </w:rPr>
        <w:t>十、结论</w:t>
      </w:r>
    </w:p>
    <w:p>
      <w:pPr>
        <w:pStyle w:val="Heading2"/>
        <w:spacing w:line="300" w:lineRule="auto" w:before="200" w:after="80"/>
      </w:pPr>
      <w:r>
        <w:rPr>
          <w:rFonts w:ascii="Times New Roman" w:hAnsi="Times New Roman" w:eastAsia="黑体"/>
          <w:b/>
          <w:color w:val="000000"/>
          <w:sz w:val="28"/>
        </w:rPr>
        <w:t>（一）主要发现</w:t>
      </w:r>
    </w:p>
    <w:p>
      <w:pPr>
        <w:spacing w:line="300" w:lineRule="auto" w:before="140" w:after="0"/>
        <w:ind w:firstLine="560"/>
        <w:jc w:val="left"/>
      </w:pPr>
      <w:r>
        <w:rPr>
          <w:rFonts w:ascii="Times New Roman" w:hAnsi="Times New Roman" w:eastAsia="宋体"/>
          <w:b/>
          <w:color w:val="000000"/>
          <w:sz w:val="28"/>
        </w:rPr>
        <w:t>季节规律明显且可利用。</w:t>
      </w:r>
      <w:r>
        <w:rPr>
          <w:rFonts w:ascii="Times New Roman" w:hAnsi="Times New Roman" w:eastAsia="宋体"/>
          <w:b w:val="0"/>
          <w:color w:val="000000"/>
          <w:sz w:val="28"/>
        </w:rPr>
        <w:t xml:space="preserve"> 十种蔬菜价格季节指数极差的中位数为 0.775，20 项趋势检验中 8 项经校正后显著。这意味着一个不需要模型的季节规则本身就有竞争力。</w:t>
      </w:r>
    </w:p>
    <w:p>
      <w:pPr>
        <w:spacing w:line="300" w:lineRule="auto" w:before="140" w:after="0"/>
        <w:ind w:firstLine="560"/>
        <w:jc w:val="left"/>
      </w:pPr>
      <w:r>
        <w:rPr>
          <w:rFonts w:ascii="Times New Roman" w:hAnsi="Times New Roman" w:eastAsia="宋体"/>
          <w:b/>
          <w:color w:val="000000"/>
          <w:sz w:val="28"/>
        </w:rPr>
        <w:t>价格预测的改进有限，且高度依赖模型选择方式。</w:t>
      </w:r>
      <w:r>
        <w:rPr>
          <w:rFonts w:ascii="Times New Roman" w:hAnsi="Times New Roman" w:eastAsia="宋体"/>
          <w:b w:val="0"/>
          <w:color w:val="000000"/>
          <w:sz w:val="28"/>
        </w:rPr>
        <w:t xml:space="preserve"> 同折选择口径下十种蔬菜有 7 种的 30 天窗口均价预测优于朴素基线（WAPE 相对改善 2.7%—24.0%）；严格前向选择下 20 条"品种—折"记录中仅 9 条仍优于基线，平均相对改善为 −3.99%，排除调参模型后为 −7.47%。该结果只能表述为历史回顾性筛选与验证。一个附带发现是，胜出者以正则化线性模型为主，复杂度更高的树模型与梯度提升并未取得优势。</w:t>
      </w:r>
    </w:p>
    <w:p>
      <w:pPr>
        <w:spacing w:line="300" w:lineRule="auto" w:before="140" w:after="0"/>
        <w:ind w:firstLine="560"/>
        <w:jc w:val="left"/>
      </w:pPr>
      <w:r>
        <w:rPr>
          <w:rFonts w:ascii="Times New Roman" w:hAnsi="Times New Roman" w:eastAsia="宋体"/>
          <w:b/>
          <w:color w:val="000000"/>
          <w:sz w:val="28"/>
        </w:rPr>
        <w:t>追高风险环境在部分品种上可以被识别。</w:t>
      </w:r>
      <w:r>
        <w:rPr>
          <w:rFonts w:ascii="Times New Roman" w:hAnsi="Times New Roman" w:eastAsia="宋体"/>
          <w:b w:val="0"/>
          <w:color w:val="000000"/>
          <w:sz w:val="28"/>
        </w:rPr>
        <w:t xml:space="preserve"> HRI 与未来 12 周收益呈方向一致的负向关联，普通检验 9/10 显著，多重检验校正后 5/10 显著，非重叠检验在 12 周窗口未获得有效结果；该关联不等于农户跟风行为，也不是因果。</w:t>
      </w:r>
    </w:p>
    <w:p>
      <w:pPr>
        <w:spacing w:line="300" w:lineRule="auto" w:before="140" w:after="0"/>
        <w:ind w:firstLine="560"/>
        <w:jc w:val="left"/>
      </w:pPr>
      <w:r>
        <w:rPr>
          <w:rFonts w:ascii="Times New Roman" w:hAnsi="Times New Roman" w:eastAsia="宋体"/>
          <w:b/>
          <w:color w:val="000000"/>
          <w:sz w:val="28"/>
        </w:rPr>
        <w:t>策略表现对切点口径高度敏感。</w:t>
      </w:r>
      <w:r>
        <w:rPr>
          <w:rFonts w:ascii="Times New Roman" w:hAnsi="Times New Roman" w:eastAsia="宋体"/>
          <w:b w:val="0"/>
          <w:color w:val="000000"/>
          <w:sz w:val="28"/>
        </w:rPr>
        <w:t xml:space="preserve"> 128 个 7 天切点下四个策略经保守校正显著优于随机基准（+6.71%—+10.66%），31 个不重叠切点下无任何策略显著；四组重点配对比较全部不显著（p 介于 0.08—0.97）。</w:t>
      </w:r>
      <w:r>
        <w:rPr>
          <w:rFonts w:ascii="Times New Roman" w:hAnsi="Times New Roman" w:eastAsia="宋体"/>
          <w:b/>
          <w:color w:val="000000"/>
          <w:sz w:val="28"/>
        </w:rPr>
        <w:t>"追高"更接近风险而非机会</w:t>
      </w:r>
      <w:r>
        <w:rPr>
          <w:rFonts w:ascii="Times New Roman" w:hAnsi="Times New Roman" w:eastAsia="宋体"/>
          <w:b w:val="0"/>
          <w:color w:val="000000"/>
          <w:sz w:val="28"/>
        </w:rPr>
        <w:t>：最高价策略在 128 切点下显著为负（−3.28%），追涨策略方向一致为负但未达显著。</w:t>
      </w:r>
    </w:p>
    <w:p>
      <w:pPr>
        <w:spacing w:line="300" w:lineRule="auto" w:before="140" w:after="0"/>
        <w:ind w:firstLine="560"/>
        <w:jc w:val="left"/>
      </w:pPr>
      <w:r>
        <w:rPr>
          <w:rFonts w:ascii="Times New Roman" w:hAnsi="Times New Roman" w:eastAsia="宋体"/>
          <w:b w:val="0"/>
          <w:color w:val="000000"/>
          <w:sz w:val="28"/>
        </w:rPr>
        <w:t>方法层面还有一点一般性意义：排序口径由绝对价格水平改为预测相对收益后，同一份预测的策略表现由 −2.17% 变为 +11.77%。</w:t>
      </w:r>
    </w:p>
    <w:p>
      <w:pPr>
        <w:pStyle w:val="Heading2"/>
        <w:spacing w:line="300" w:lineRule="auto" w:before="200" w:after="80"/>
      </w:pPr>
      <w:r>
        <w:rPr>
          <w:rFonts w:ascii="Times New Roman" w:hAnsi="Times New Roman" w:eastAsia="黑体"/>
          <w:b/>
          <w:color w:val="000000"/>
          <w:sz w:val="28"/>
        </w:rPr>
        <w:t>（二）研究价值与不足</w:t>
      </w:r>
    </w:p>
    <w:p>
      <w:pPr>
        <w:spacing w:line="300" w:lineRule="auto" w:before="140" w:after="0"/>
        <w:ind w:firstLine="560"/>
        <w:jc w:val="left"/>
      </w:pPr>
      <w:r>
        <w:rPr>
          <w:rFonts w:ascii="Times New Roman" w:hAnsi="Times New Roman" w:eastAsia="宋体"/>
          <w:b w:val="0"/>
          <w:color w:val="000000"/>
          <w:sz w:val="28"/>
        </w:rPr>
        <w:t>本文的价值主要体现在三处衔接：把难以观测的跟风种植行为转化为可用价格数据量化的追高风险环境，并划出可支持与不可支持的推断范围；以截断不变性检验、标签 purge、配对设计与多重比较校正构成一套时间信息约束，使策略比较不至于把整个市场的共同涨跌计入策略能力；在得到不利结果时如实报告并给出统计学原因。</w:t>
      </w:r>
    </w:p>
    <w:p>
      <w:pPr>
        <w:spacing w:line="300" w:lineRule="auto" w:before="140" w:after="0"/>
        <w:ind w:firstLine="560"/>
        <w:jc w:val="left"/>
      </w:pPr>
      <w:r>
        <w:rPr>
          <w:rFonts w:ascii="Times New Roman" w:hAnsi="Times New Roman" w:eastAsia="宋体"/>
          <w:b w:val="0"/>
          <w:color w:val="000000"/>
          <w:sz w:val="28"/>
        </w:rPr>
        <w:t>不足同样明确：缺少嵌套交叉验证，前向验证只能覆盖两折；不重叠样本量偏小；没有成本与亩产数据；没有观测农户行为；结论限于单一城市与单一批发价层；HRI 的独立增量贡献尚未检验。</w:t>
      </w:r>
    </w:p>
    <w:p>
      <w:pPr>
        <w:pStyle w:val="Heading2"/>
        <w:spacing w:line="300" w:lineRule="auto" w:before="200" w:after="80"/>
      </w:pPr>
      <w:r>
        <w:rPr>
          <w:rFonts w:ascii="Times New Roman" w:hAnsi="Times New Roman" w:eastAsia="黑体"/>
          <w:b/>
          <w:color w:val="000000"/>
          <w:sz w:val="28"/>
        </w:rPr>
        <w:t>（三）推广条件与边界</w:t>
      </w:r>
    </w:p>
    <w:p>
      <w:pPr>
        <w:spacing w:line="300" w:lineRule="auto" w:before="140" w:after="0"/>
        <w:ind w:firstLine="560"/>
        <w:jc w:val="left"/>
      </w:pPr>
      <w:r>
        <w:rPr>
          <w:rFonts w:ascii="Times New Roman" w:hAnsi="Times New Roman" w:eastAsia="宋体"/>
          <w:b w:val="0"/>
          <w:color w:val="000000"/>
          <w:sz w:val="28"/>
        </w:rPr>
        <w:t>本文方法可推广至具备连续日度价格序列、且价格层级可明确区分的其他农产品市场，前提是满足三条：价格层级单一口径；特征与标签严格遵守时间一致（point-in-time 加标签 purge）；策略比较使用配对设计与多重比较校正。</w:t>
      </w:r>
    </w:p>
    <w:p>
      <w:pPr>
        <w:spacing w:line="300" w:lineRule="auto" w:before="140" w:after="0"/>
        <w:ind w:firstLine="560"/>
        <w:jc w:val="left"/>
      </w:pPr>
      <w:r>
        <w:rPr>
          <w:rFonts w:ascii="Times New Roman" w:hAnsi="Times New Roman" w:eastAsia="宋体"/>
          <w:b w:val="0"/>
          <w:color w:val="000000"/>
          <w:sz w:val="28"/>
        </w:rPr>
        <w:t>边界同样明确：结论不适用于农户经营利润评估，不适用于跨价格层级的城市间比较，不构成对农户跟风行为的推断，也不是真实种植经营试验的结果。</w:t>
      </w:r>
    </w:p>
    <w:p>
      <w:pPr>
        <w:pStyle w:val="Heading1"/>
        <w:spacing w:line="300" w:lineRule="auto" w:before="240" w:after="120"/>
        <w:jc w:val="left"/>
      </w:pPr>
      <w:r>
        <w:rPr>
          <w:rFonts w:ascii="Times New Roman" w:hAnsi="Times New Roman" w:eastAsia="黑体"/>
          <w:b/>
          <w:color w:val="000000"/>
          <w:sz w:val="30"/>
        </w:rPr>
        <w:t>参考文献</w:t>
      </w:r>
    </w:p>
    <w:p>
      <w:pPr>
        <w:spacing w:line="300" w:lineRule="auto" w:before="60" w:after="0"/>
        <w:ind w:left="480" w:hanging="480"/>
        <w:jc w:val="left"/>
      </w:pPr>
      <w:r>
        <w:rPr>
          <w:rFonts w:ascii="Times New Roman" w:hAnsi="Times New Roman" w:eastAsia="宋体"/>
          <w:b w:val="0"/>
          <w:color w:val="000000"/>
          <w:sz w:val="24"/>
        </w:rPr>
        <w:t>[1] Ezekiel M. The cobweb theorem[J]. The Quarterly Journal of Economics, 1938, 52(2): 255-280.</w:t>
      </w:r>
    </w:p>
    <w:p>
      <w:pPr>
        <w:spacing w:line="300" w:lineRule="auto" w:before="60" w:after="0"/>
        <w:ind w:left="480" w:hanging="480"/>
        <w:jc w:val="left"/>
      </w:pPr>
      <w:r>
        <w:rPr>
          <w:rFonts w:ascii="Times New Roman" w:hAnsi="Times New Roman" w:eastAsia="宋体"/>
          <w:b w:val="0"/>
          <w:color w:val="000000"/>
          <w:sz w:val="24"/>
        </w:rPr>
        <w:t>[2] Nerlove M. Adaptive expectations and cobweb phenomena[J]. The Quarterly Journal of Economics, 1958, 72(2): 227-240.</w:t>
      </w:r>
    </w:p>
    <w:p>
      <w:pPr>
        <w:spacing w:line="300" w:lineRule="auto" w:before="60" w:after="0"/>
        <w:ind w:left="480" w:hanging="480"/>
        <w:jc w:val="left"/>
      </w:pPr>
      <w:r>
        <w:rPr>
          <w:rFonts w:ascii="Times New Roman" w:hAnsi="Times New Roman" w:eastAsia="宋体"/>
          <w:b w:val="0"/>
          <w:color w:val="000000"/>
          <w:sz w:val="24"/>
        </w:rPr>
        <w:t>[3] 闵师, 王晓兵, 白军飞, 黄季焜. 预期价格变动对农户生产行为调整的非对称影响——基于西双版纳胶农调查分析[J]. 农业现代化研究, 2017, 38(3): 475-483. DOI: 10.13872/j.1000-0275.2017.0034.</w:t>
      </w:r>
    </w:p>
    <w:p>
      <w:pPr>
        <w:spacing w:line="300" w:lineRule="auto" w:before="60" w:after="0"/>
        <w:ind w:left="480" w:hanging="480"/>
        <w:jc w:val="left"/>
      </w:pPr>
      <w:r>
        <w:rPr>
          <w:rFonts w:ascii="Times New Roman" w:hAnsi="Times New Roman" w:eastAsia="宋体"/>
          <w:b w:val="0"/>
          <w:color w:val="000000"/>
          <w:sz w:val="24"/>
        </w:rPr>
        <w:t>[4] 岳瑞雪, 谭砚文. 蔬菜价格波动的共同影响因子与宏观决定因素[J]. 华南农业大学学报（社会科学版）, 2019, 18(3): 79-91. DOI: 10.7671/j.issn.1672-0202.2019.03.008.</w:t>
      </w:r>
    </w:p>
    <w:p>
      <w:pPr>
        <w:spacing w:line="300" w:lineRule="auto" w:before="60" w:after="0"/>
        <w:ind w:left="480" w:hanging="480"/>
        <w:jc w:val="left"/>
      </w:pPr>
      <w:r>
        <w:rPr>
          <w:rFonts w:ascii="Times New Roman" w:hAnsi="Times New Roman" w:eastAsia="宋体"/>
          <w:b w:val="0"/>
          <w:color w:val="000000"/>
          <w:sz w:val="24"/>
        </w:rPr>
        <w:t>[5] 翟志宏, 江民星, 常春英. 降水对蔬菜价格的冲击效应——以广州为例[J]. 资源科学, 2021, 43(2): 304-315. DOI: 10.18402/resci.2021.02.09.</w:t>
      </w:r>
    </w:p>
    <w:p>
      <w:pPr>
        <w:spacing w:line="300" w:lineRule="auto" w:before="60" w:after="0"/>
        <w:ind w:left="480" w:hanging="480"/>
        <w:jc w:val="left"/>
      </w:pPr>
      <w:r>
        <w:rPr>
          <w:rFonts w:ascii="Times New Roman" w:hAnsi="Times New Roman" w:eastAsia="宋体"/>
          <w:b w:val="0"/>
          <w:color w:val="000000"/>
          <w:sz w:val="24"/>
        </w:rPr>
        <w:t>[6] 安民, 曹姗姗, 孙伟, 孔汇鑫, 孔繁涛, 刘继芳. 我国蔬菜产业市场运行态势研究[J]. 中国蔬菜, 2024(2): 6-13. DOI: 10.19928/j.cnki.1000-6346.2024.1009.</w:t>
      </w:r>
    </w:p>
    <w:p>
      <w:pPr>
        <w:spacing w:line="300" w:lineRule="auto" w:before="60" w:after="0"/>
        <w:ind w:left="480" w:hanging="480"/>
        <w:jc w:val="left"/>
      </w:pPr>
      <w:r>
        <w:rPr>
          <w:rFonts w:ascii="Times New Roman" w:hAnsi="Times New Roman" w:eastAsia="宋体"/>
          <w:b w:val="0"/>
          <w:color w:val="000000"/>
          <w:sz w:val="24"/>
        </w:rPr>
        <w:t>[7] 于晓华, 刘爽. "没有免费午餐定理"与农业政策研究中的算法选择：以机器学习预测生猪价格变动为例[J]. 农业经济问题, 2024(5): 20-32.</w:t>
      </w:r>
    </w:p>
    <w:p>
      <w:pPr>
        <w:spacing w:line="300" w:lineRule="auto" w:before="60" w:after="0"/>
        <w:ind w:left="480" w:hanging="480"/>
        <w:jc w:val="left"/>
      </w:pPr>
      <w:r>
        <w:rPr>
          <w:rFonts w:ascii="Times New Roman" w:hAnsi="Times New Roman" w:eastAsia="宋体"/>
          <w:b w:val="0"/>
          <w:color w:val="000000"/>
          <w:sz w:val="24"/>
        </w:rPr>
        <w:t>[8] 沈阳市发展和改革委员会. 菜篮子信息发布平台价格监测数据[DB/OL]. https://www.lnsyjgjc.com/.</w:t>
      </w:r>
    </w:p>
    <w:p>
      <w:pPr>
        <w:spacing w:line="300" w:lineRule="auto" w:before="60" w:after="0"/>
        <w:ind w:left="480" w:hanging="480"/>
        <w:jc w:val="left"/>
      </w:pPr>
      <w:r>
        <w:rPr>
          <w:rFonts w:ascii="Times New Roman" w:hAnsi="Times New Roman" w:eastAsia="宋体"/>
          <w:b w:val="0"/>
          <w:color w:val="000000"/>
          <w:sz w:val="24"/>
        </w:rPr>
        <w:t>[9] Cleveland R B, Cleveland W S, McRae J E, et al. STL: A seasonal-trend decomposition procedure based on loess[J]. Journal of Official Statistics, 1990, 6(1): 3-73.</w:t>
      </w:r>
    </w:p>
    <w:p>
      <w:pPr>
        <w:spacing w:line="300" w:lineRule="auto" w:before="60" w:after="0"/>
        <w:ind w:left="480" w:hanging="480"/>
        <w:jc w:val="left"/>
      </w:pPr>
      <w:r>
        <w:rPr>
          <w:rFonts w:ascii="Times New Roman" w:hAnsi="Times New Roman" w:eastAsia="宋体"/>
          <w:b w:val="0"/>
          <w:color w:val="000000"/>
          <w:sz w:val="24"/>
        </w:rPr>
        <w:t>[10] Newey W K, West K D. A simple, positive semi-definite, heteroskedasticity and autocorrelation consistent covariance matrix[J]. Econometrica, 1987, 55(3): 703-708.</w:t>
      </w:r>
    </w:p>
    <w:p>
      <w:pPr>
        <w:spacing w:line="300" w:lineRule="auto" w:before="60" w:after="0"/>
        <w:ind w:left="480" w:hanging="480"/>
        <w:jc w:val="left"/>
      </w:pPr>
      <w:r>
        <w:rPr>
          <w:rFonts w:ascii="Times New Roman" w:hAnsi="Times New Roman" w:eastAsia="宋体"/>
          <w:b w:val="0"/>
          <w:color w:val="000000"/>
          <w:sz w:val="24"/>
        </w:rPr>
        <w:t>[11] Politis D N, Romano J P. The stationary bootstrap[J]. Journal of the American Statistical Association, 1994, 89(428): 1303-1313.</w:t>
      </w:r>
    </w:p>
    <w:p>
      <w:pPr>
        <w:spacing w:line="300" w:lineRule="auto" w:before="60" w:after="0"/>
        <w:ind w:left="480" w:hanging="480"/>
        <w:jc w:val="left"/>
      </w:pPr>
      <w:r>
        <w:rPr>
          <w:rFonts w:ascii="Times New Roman" w:hAnsi="Times New Roman" w:eastAsia="宋体"/>
          <w:b w:val="0"/>
          <w:color w:val="000000"/>
          <w:sz w:val="24"/>
        </w:rPr>
        <w:t>[12] Zou H, Hastie T. Regularization and variable selection via the elastic net[J]. Journal of the Royal Statistical Society: Series B, 2005, 67(2): 301-320.</w:t>
      </w:r>
    </w:p>
    <w:p>
      <w:pPr>
        <w:spacing w:line="300" w:lineRule="auto" w:before="60" w:after="0"/>
        <w:ind w:left="480" w:hanging="480"/>
        <w:jc w:val="left"/>
      </w:pPr>
      <w:r>
        <w:rPr>
          <w:rFonts w:ascii="Times New Roman" w:hAnsi="Times New Roman" w:eastAsia="宋体"/>
          <w:b w:val="0"/>
          <w:color w:val="000000"/>
          <w:sz w:val="24"/>
        </w:rPr>
        <w:t>[13] Geurts P, Ernst D, Wehenkel L. Extremely randomized trees[J]. Machine Learning, 2006, 63(1): 3-42.</w:t>
      </w:r>
    </w:p>
    <w:p>
      <w:pPr>
        <w:spacing w:line="300" w:lineRule="auto" w:before="60" w:after="0"/>
        <w:ind w:left="480" w:hanging="480"/>
        <w:jc w:val="left"/>
      </w:pPr>
      <w:r>
        <w:rPr>
          <w:rFonts w:ascii="Times New Roman" w:hAnsi="Times New Roman" w:eastAsia="宋体"/>
          <w:b w:val="0"/>
          <w:color w:val="000000"/>
          <w:sz w:val="24"/>
        </w:rPr>
        <w:t>[14] Prokhorenkova L, Gusev G, Vorobev A, et al. CatBoost: unbiased boosting with categorical features[C]//Advances in Neural Information Processing Systems 31. Montreal: NeurIPS, 2018: 6638-6648.</w:t>
      </w:r>
    </w:p>
    <w:p>
      <w:pPr>
        <w:spacing w:line="300" w:lineRule="auto" w:before="60" w:after="0"/>
        <w:ind w:left="480" w:hanging="480"/>
        <w:jc w:val="left"/>
      </w:pPr>
      <w:r>
        <w:rPr>
          <w:rFonts w:ascii="Times New Roman" w:hAnsi="Times New Roman" w:eastAsia="宋体"/>
          <w:b w:val="0"/>
          <w:color w:val="000000"/>
          <w:sz w:val="24"/>
        </w:rPr>
        <w:t>[15] Hyndman R J, Athanasopoulos G. Forecasting: Principles and Practice[M]. 3rd ed. Melbourne: OTexts, 2021.</w:t>
      </w:r>
    </w:p>
    <w:p>
      <w:pPr>
        <w:spacing w:line="300" w:lineRule="auto" w:before="60" w:after="0"/>
        <w:ind w:left="480" w:hanging="480"/>
        <w:jc w:val="left"/>
      </w:pPr>
      <w:r>
        <w:rPr>
          <w:rFonts w:ascii="Times New Roman" w:hAnsi="Times New Roman" w:eastAsia="宋体"/>
          <w:b w:val="0"/>
          <w:color w:val="000000"/>
          <w:sz w:val="24"/>
        </w:rPr>
        <w:t>[16] Lopez de Prado M. Advances in Financial Machine Learning[M]. Hoboken: John Wiley &amp; Sons, 2018: 105-120.</w:t>
      </w:r>
    </w:p>
    <w:p>
      <w:pPr>
        <w:spacing w:line="300" w:lineRule="auto" w:before="60" w:after="0"/>
        <w:ind w:left="480" w:hanging="480"/>
        <w:jc w:val="left"/>
      </w:pPr>
      <w:r>
        <w:rPr>
          <w:rFonts w:ascii="Times New Roman" w:hAnsi="Times New Roman" w:eastAsia="宋体"/>
          <w:b w:val="0"/>
          <w:color w:val="000000"/>
          <w:sz w:val="24"/>
        </w:rPr>
        <w:t>[17] Newey W K, West K D. Automatic lag selection in covariance matrix estimation[J]. The Review of Economic Studies, 1994, 61(4): 631-653.</w:t>
      </w:r>
    </w:p>
    <w:p>
      <w:pPr>
        <w:spacing w:line="300" w:lineRule="auto" w:before="60" w:after="0"/>
        <w:ind w:left="480" w:hanging="480"/>
        <w:jc w:val="left"/>
      </w:pPr>
      <w:r>
        <w:rPr>
          <w:rFonts w:ascii="Times New Roman" w:hAnsi="Times New Roman" w:eastAsia="宋体"/>
          <w:b w:val="0"/>
          <w:color w:val="000000"/>
          <w:sz w:val="24"/>
        </w:rPr>
        <w:t>[18] Benjamini Y, Hochberg Y. Controlling the false discovery rate: a practical and powerful approach to multiple testing[J]. Journal of the Royal Statistical Society: Series B, 1995, 57(1): 289-300.</w:t>
      </w:r>
    </w:p>
    <w:p>
      <w:pPr>
        <w:pStyle w:val="Heading1"/>
        <w:spacing w:line="300" w:lineRule="auto" w:before="240" w:after="120"/>
        <w:jc w:val="left"/>
      </w:pPr>
      <w:r>
        <w:rPr>
          <w:rFonts w:ascii="Times New Roman" w:hAnsi="Times New Roman" w:eastAsia="黑体"/>
          <w:b/>
          <w:color w:val="000000"/>
          <w:sz w:val="30"/>
        </w:rPr>
        <w:t>附录</w:t>
      </w:r>
    </w:p>
    <w:p>
      <w:pPr>
        <w:pStyle w:val="Heading2"/>
        <w:spacing w:line="300" w:lineRule="auto" w:before="200" w:after="80"/>
      </w:pPr>
      <w:r>
        <w:rPr>
          <w:rFonts w:ascii="Times New Roman" w:hAnsi="Times New Roman" w:eastAsia="黑体"/>
          <w:b/>
          <w:color w:val="000000"/>
          <w:sz w:val="28"/>
        </w:rPr>
        <w:t>附录 1　数据字典与单位说明</w:t>
      </w:r>
    </w:p>
    <w:p>
      <w:pPr>
        <w:spacing w:line="240" w:lineRule="auto" w:before="160" w:after="80"/>
        <w:jc w:val="center"/>
      </w:pPr>
      <w:r>
        <w:rPr>
          <w:rFonts w:ascii="Times New Roman" w:hAnsi="Times New Roman" w:eastAsia="宋体"/>
          <w:b/>
          <w:color w:val="000000"/>
          <w:sz w:val="24"/>
        </w:rPr>
        <w:t xml:space="preserve">附表 </w:t>
      </w:r>
      <w:r>
        <w:fldChar w:fldCharType="begin"/>
        <w:instrText xml:space="preserve">SEQ 附表 \* ARABIC</w:instrText>
        <w:fldChar w:fldCharType="separate"/>
        <w:t>（Word 打开时自动更新）</w:t>
        <w:fldChar w:fldCharType="end"/>
      </w:r>
      <w:r>
        <w:rPr>
          <w:rFonts w:ascii="Times New Roman" w:hAnsi="Times New Roman" w:eastAsia="宋体"/>
          <w:b/>
          <w:color w:val="000000"/>
          <w:sz w:val="24"/>
        </w:rPr>
        <w:t xml:space="preserve">　字段定义</w:t>
      </w:r>
    </w:p>
    <w:tbl>
      <w:tblPr>
        <w:tblStyle w:val="TableGrid"/>
        <w:tblW w:type="auto" w:w="0"/>
        <w:jc w:val="center"/>
        <w:tblLook w:firstColumn="1" w:firstRow="1" w:lastColumn="0" w:lastRow="0" w:noHBand="0" w:noVBand="1" w:val="04A0"/>
      </w:tblPr>
      <w:tblGrid>
        <w:gridCol w:w="2771"/>
        <w:gridCol w:w="2771"/>
        <w:gridCol w:w="2771"/>
      </w:tblGrid>
      <w:tr>
        <w:trPr>
          <w:tblHeader w:val="true"/>
        </w:trPr>
        <w:tc>
          <w:tcPr>
            <w:tcW w:type="dxa" w:w="2771"/>
          </w:tcPr>
          <w:p>
            <w:pPr>
              <w:spacing w:line="240" w:lineRule="auto" w:before="20" w:after="20"/>
              <w:jc w:val="center"/>
            </w:pPr>
            <w:r/>
            <w:r>
              <w:rPr>
                <w:rFonts w:ascii="Times New Roman" w:hAnsi="Times New Roman" w:eastAsia="宋体"/>
                <w:b/>
                <w:color w:val="000000"/>
                <w:sz w:val="21"/>
              </w:rPr>
              <w:t>字段</w:t>
            </w:r>
          </w:p>
        </w:tc>
        <w:tc>
          <w:tcPr>
            <w:tcW w:type="dxa" w:w="2771"/>
          </w:tcPr>
          <w:p>
            <w:pPr>
              <w:spacing w:line="240" w:lineRule="auto" w:before="20" w:after="20"/>
              <w:jc w:val="center"/>
            </w:pPr>
            <w:r/>
            <w:r>
              <w:rPr>
                <w:rFonts w:ascii="Times New Roman" w:hAnsi="Times New Roman" w:eastAsia="宋体"/>
                <w:b/>
                <w:color w:val="000000"/>
                <w:sz w:val="21"/>
              </w:rPr>
              <w:t>含义</w:t>
            </w:r>
          </w:p>
        </w:tc>
        <w:tc>
          <w:tcPr>
            <w:tcW w:type="dxa" w:w="2771"/>
          </w:tcPr>
          <w:p>
            <w:pPr>
              <w:spacing w:line="240" w:lineRule="auto" w:before="20" w:after="20"/>
              <w:jc w:val="center"/>
            </w:pPr>
            <w:r/>
            <w:r>
              <w:rPr>
                <w:rFonts w:ascii="Times New Roman" w:hAnsi="Times New Roman" w:eastAsia="宋体"/>
                <w:b/>
                <w:color w:val="000000"/>
                <w:sz w:val="21"/>
              </w:rPr>
              <w:t>单位</w:t>
            </w:r>
          </w:p>
        </w:tc>
      </w:tr>
      <w:tr>
        <w:tc>
          <w:tcPr>
            <w:tcW w:type="dxa" w:w="2771"/>
          </w:tcPr>
          <w:p>
            <w:pPr>
              <w:spacing w:line="240" w:lineRule="auto" w:before="20" w:after="20"/>
              <w:jc w:val="left"/>
            </w:pPr>
            <w:r/>
            <w:r>
              <w:rPr>
                <w:rFonts w:ascii="Times New Roman" w:hAnsi="Times New Roman" w:eastAsia="宋体"/>
                <w:b w:val="0"/>
                <w:color w:val="000000"/>
                <w:sz w:val="21"/>
              </w:rPr>
              <w:t>`date`</w:t>
            </w:r>
          </w:p>
        </w:tc>
        <w:tc>
          <w:tcPr>
            <w:tcW w:type="dxa" w:w="2771"/>
          </w:tcPr>
          <w:p>
            <w:pPr>
              <w:spacing w:line="240" w:lineRule="auto" w:before="20" w:after="20"/>
              <w:jc w:val="left"/>
            </w:pPr>
            <w:r/>
            <w:r>
              <w:rPr>
                <w:rFonts w:ascii="Times New Roman" w:hAnsi="Times New Roman" w:eastAsia="宋体"/>
                <w:b w:val="0"/>
                <w:color w:val="000000"/>
                <w:sz w:val="21"/>
              </w:rPr>
              <w:t>观测日期</w:t>
            </w:r>
          </w:p>
        </w:tc>
        <w:tc>
          <w:tcPr>
            <w:tcW w:type="dxa" w:w="2771"/>
          </w:tcPr>
          <w:p>
            <w:pPr>
              <w:spacing w:line="240" w:lineRule="auto" w:before="20" w:after="20"/>
              <w:jc w:val="left"/>
            </w:pPr>
            <w:r/>
            <w:r>
              <w:rPr>
                <w:rFonts w:ascii="Times New Roman" w:hAnsi="Times New Roman" w:eastAsia="宋体"/>
                <w:b w:val="0"/>
                <w:color w:val="000000"/>
                <w:sz w:val="21"/>
              </w:rPr>
              <w:t>—</w:t>
            </w:r>
          </w:p>
        </w:tc>
      </w:tr>
      <w:tr>
        <w:tc>
          <w:tcPr>
            <w:tcW w:type="dxa" w:w="2771"/>
          </w:tcPr>
          <w:p>
            <w:pPr>
              <w:spacing w:line="240" w:lineRule="auto" w:before="20" w:after="20"/>
              <w:jc w:val="left"/>
            </w:pPr>
            <w:r/>
            <w:r>
              <w:rPr>
                <w:rFonts w:ascii="Times New Roman" w:hAnsi="Times New Roman" w:eastAsia="宋体"/>
                <w:b w:val="0"/>
                <w:color w:val="000000"/>
                <w:sz w:val="21"/>
              </w:rPr>
              <w:t>`crop`</w:t>
            </w:r>
          </w:p>
        </w:tc>
        <w:tc>
          <w:tcPr>
            <w:tcW w:type="dxa" w:w="2771"/>
          </w:tcPr>
          <w:p>
            <w:pPr>
              <w:spacing w:line="240" w:lineRule="auto" w:before="20" w:after="20"/>
              <w:jc w:val="left"/>
            </w:pPr>
            <w:r/>
            <w:r>
              <w:rPr>
                <w:rFonts w:ascii="Times New Roman" w:hAnsi="Times New Roman" w:eastAsia="宋体"/>
                <w:b w:val="0"/>
                <w:color w:val="000000"/>
                <w:sz w:val="21"/>
              </w:rPr>
              <w:t>品种（受控字典，10 类）</w:t>
            </w:r>
          </w:p>
        </w:tc>
        <w:tc>
          <w:tcPr>
            <w:tcW w:type="dxa" w:w="2771"/>
          </w:tcPr>
          <w:p>
            <w:pPr>
              <w:spacing w:line="240" w:lineRule="auto" w:before="20" w:after="20"/>
              <w:jc w:val="left"/>
            </w:pPr>
            <w:r/>
            <w:r>
              <w:rPr>
                <w:rFonts w:ascii="Times New Roman" w:hAnsi="Times New Roman" w:eastAsia="宋体"/>
                <w:b w:val="0"/>
                <w:color w:val="000000"/>
                <w:sz w:val="21"/>
              </w:rPr>
              <w:t>—</w:t>
            </w:r>
          </w:p>
        </w:tc>
      </w:tr>
      <w:tr>
        <w:tc>
          <w:tcPr>
            <w:tcW w:type="dxa" w:w="2771"/>
          </w:tcPr>
          <w:p>
            <w:pPr>
              <w:spacing w:line="240" w:lineRule="auto" w:before="20" w:after="20"/>
              <w:jc w:val="left"/>
            </w:pPr>
            <w:r/>
            <w:r>
              <w:rPr>
                <w:rFonts w:ascii="Times New Roman" w:hAnsi="Times New Roman" w:eastAsia="宋体"/>
                <w:b w:val="0"/>
                <w:color w:val="000000"/>
                <w:sz w:val="21"/>
              </w:rPr>
              <w:t>`price_per_kg`</w:t>
            </w:r>
          </w:p>
        </w:tc>
        <w:tc>
          <w:tcPr>
            <w:tcW w:type="dxa" w:w="2771"/>
          </w:tcPr>
          <w:p>
            <w:pPr>
              <w:spacing w:line="240" w:lineRule="auto" w:before="20" w:after="20"/>
              <w:jc w:val="left"/>
            </w:pPr>
            <w:r/>
            <w:r>
              <w:rPr>
                <w:rFonts w:ascii="Times New Roman" w:hAnsi="Times New Roman" w:eastAsia="宋体"/>
                <w:b w:val="0"/>
                <w:color w:val="000000"/>
                <w:sz w:val="21"/>
              </w:rPr>
              <w:t>批发价格</w:t>
            </w:r>
          </w:p>
        </w:tc>
        <w:tc>
          <w:tcPr>
            <w:tcW w:type="dxa" w:w="2771"/>
          </w:tcPr>
          <w:p>
            <w:pPr>
              <w:spacing w:line="240" w:lineRule="auto" w:before="20" w:after="20"/>
              <w:jc w:val="left"/>
            </w:pPr>
            <w:r/>
            <w:r>
              <w:rPr>
                <w:rFonts w:ascii="Times New Roman" w:hAnsi="Times New Roman" w:eastAsia="宋体"/>
                <w:b w:val="0"/>
                <w:color w:val="000000"/>
                <w:sz w:val="21"/>
              </w:rPr>
              <w:t>元/公斤</w:t>
            </w:r>
          </w:p>
        </w:tc>
      </w:tr>
      <w:tr>
        <w:tc>
          <w:tcPr>
            <w:tcW w:type="dxa" w:w="2771"/>
          </w:tcPr>
          <w:p>
            <w:pPr>
              <w:spacing w:line="240" w:lineRule="auto" w:before="20" w:after="20"/>
              <w:jc w:val="left"/>
            </w:pPr>
            <w:r/>
            <w:r>
              <w:rPr>
                <w:rFonts w:ascii="Times New Roman" w:hAnsi="Times New Roman" w:eastAsia="宋体"/>
                <w:b w:val="0"/>
                <w:color w:val="000000"/>
                <w:sz w:val="21"/>
              </w:rPr>
              <w:t>`price_level_canonical`</w:t>
            </w:r>
          </w:p>
        </w:tc>
        <w:tc>
          <w:tcPr>
            <w:tcW w:type="dxa" w:w="2771"/>
          </w:tcPr>
          <w:p>
            <w:pPr>
              <w:spacing w:line="240" w:lineRule="auto" w:before="20" w:after="20"/>
              <w:jc w:val="left"/>
            </w:pPr>
            <w:r/>
            <w:r>
              <w:rPr>
                <w:rFonts w:ascii="Times New Roman" w:hAnsi="Times New Roman" w:eastAsia="宋体"/>
                <w:b w:val="0"/>
                <w:color w:val="000000"/>
                <w:sz w:val="21"/>
              </w:rPr>
              <w:t>价格层级</w:t>
            </w:r>
          </w:p>
        </w:tc>
        <w:tc>
          <w:tcPr>
            <w:tcW w:type="dxa" w:w="2771"/>
          </w:tcPr>
          <w:p>
            <w:pPr>
              <w:spacing w:line="240" w:lineRule="auto" w:before="20" w:after="20"/>
              <w:jc w:val="left"/>
            </w:pPr>
            <w:r/>
            <w:r>
              <w:rPr>
                <w:rFonts w:ascii="Times New Roman" w:hAnsi="Times New Roman" w:eastAsia="宋体"/>
                <w:b w:val="0"/>
                <w:color w:val="000000"/>
                <w:sz w:val="21"/>
              </w:rPr>
              <w:t>固定为 `wholesale`</w:t>
            </w:r>
          </w:p>
        </w:tc>
      </w:tr>
      <w:tr>
        <w:tc>
          <w:tcPr>
            <w:tcW w:type="dxa" w:w="2771"/>
          </w:tcPr>
          <w:p>
            <w:pPr>
              <w:spacing w:line="240" w:lineRule="auto" w:before="20" w:after="20"/>
              <w:jc w:val="left"/>
            </w:pPr>
            <w:r/>
            <w:r>
              <w:rPr>
                <w:rFonts w:ascii="Times New Roman" w:hAnsi="Times New Roman" w:eastAsia="宋体"/>
                <w:b w:val="0"/>
                <w:color w:val="000000"/>
                <w:sz w:val="21"/>
              </w:rPr>
              <w:t>`volume_*`</w:t>
            </w:r>
          </w:p>
        </w:tc>
        <w:tc>
          <w:tcPr>
            <w:tcW w:type="dxa" w:w="2771"/>
          </w:tcPr>
          <w:p>
            <w:pPr>
              <w:spacing w:line="240" w:lineRule="auto" w:before="20" w:after="20"/>
              <w:jc w:val="left"/>
            </w:pPr>
            <w:r/>
            <w:r>
              <w:rPr>
                <w:rFonts w:ascii="Times New Roman" w:hAnsi="Times New Roman" w:eastAsia="宋体"/>
                <w:b w:val="0"/>
                <w:color w:val="000000"/>
                <w:sz w:val="21"/>
              </w:rPr>
              <w:t>成交量相关字段</w:t>
            </w:r>
          </w:p>
        </w:tc>
        <w:tc>
          <w:tcPr>
            <w:tcW w:type="dxa" w:w="2771"/>
          </w:tcPr>
          <w:p>
            <w:pPr>
              <w:spacing w:line="240" w:lineRule="auto" w:before="20" w:after="20"/>
              <w:jc w:val="left"/>
            </w:pPr>
            <w:r/>
            <w:r>
              <w:rPr>
                <w:rFonts w:ascii="Times New Roman" w:hAnsi="Times New Roman" w:eastAsia="宋体"/>
                <w:b w:val="0"/>
                <w:color w:val="000000"/>
                <w:sz w:val="21"/>
              </w:rPr>
              <w:t>单位未公开，仅用于相对口径</w:t>
            </w:r>
          </w:p>
        </w:tc>
      </w:tr>
    </w:tbl>
    <w:p>
      <w:pPr>
        <w:spacing w:before="0"/>
      </w:pPr>
    </w:p>
    <w:p>
      <w:pPr>
        <w:spacing w:line="300" w:lineRule="auto" w:before="140" w:after="0"/>
        <w:ind w:firstLine="560"/>
        <w:jc w:val="left"/>
      </w:pPr>
      <w:r>
        <w:rPr>
          <w:rFonts w:ascii="Times New Roman" w:hAnsi="Times New Roman" w:eastAsia="宋体"/>
          <w:b w:val="0"/>
          <w:color w:val="000000"/>
          <w:sz w:val="28"/>
        </w:rPr>
        <w:t>建模数据集另含 63 项特征与 11 项目标变量，字段命名规则为：滞后类 `price_lag_obs_*` 与 `price_lag_cal_*`，滑动统计类 `price_ma*`、`price_median*`、`price_std*`，动量与波动类 `price_return_*`、`price_momentum_*`、`volatility_*`、`rolling_slope_*`、`continuous_rise_days`，回撤类 `rolling_max_30`、`drawdown_30`、`max_drawdown_90`，季节类 `expanding_price_percentile`、`same_month_price_percentile`、`seasonal_p10/p50/p90`、`price_vs_seasonal_p50`，目标类 `target_mean_price_next_{7,14,30,60,90}d` 等。任何目标变量不进入特征矩阵。</w:t>
      </w:r>
    </w:p>
    <w:p>
      <w:pPr>
        <w:pStyle w:val="Heading2"/>
        <w:spacing w:line="300" w:lineRule="auto" w:before="200" w:after="80"/>
      </w:pPr>
      <w:r>
        <w:rPr>
          <w:rFonts w:ascii="Times New Roman" w:hAnsi="Times New Roman" w:eastAsia="黑体"/>
          <w:b/>
          <w:color w:val="000000"/>
          <w:sz w:val="28"/>
        </w:rPr>
        <w:t>附录 2　模型与策略参数</w:t>
      </w:r>
    </w:p>
    <w:p>
      <w:pPr>
        <w:spacing w:line="240" w:lineRule="auto" w:before="160" w:after="80"/>
        <w:jc w:val="center"/>
      </w:pPr>
      <w:r>
        <w:rPr>
          <w:rFonts w:ascii="Times New Roman" w:hAnsi="Times New Roman" w:eastAsia="宋体"/>
          <w:b/>
          <w:color w:val="000000"/>
          <w:sz w:val="24"/>
        </w:rPr>
        <w:t xml:space="preserve">附表 </w:t>
      </w:r>
      <w:r>
        <w:fldChar w:fldCharType="begin"/>
        <w:instrText xml:space="preserve">SEQ 附表 \* ARABIC</w:instrText>
        <w:fldChar w:fldCharType="separate"/>
        <w:t>（Word 打开时自动更新）</w:t>
        <w:fldChar w:fldCharType="end"/>
      </w:r>
      <w:r>
        <w:rPr>
          <w:rFonts w:ascii="Times New Roman" w:hAnsi="Times New Roman" w:eastAsia="宋体"/>
          <w:b/>
          <w:color w:val="000000"/>
          <w:sz w:val="24"/>
        </w:rPr>
        <w:t xml:space="preserve">　模型超参数</w:t>
      </w:r>
    </w:p>
    <w:tbl>
      <w:tblPr>
        <w:tblStyle w:val="TableGrid"/>
        <w:tblW w:type="auto" w:w="0"/>
        <w:jc w:val="center"/>
        <w:tblLook w:firstColumn="1" w:firstRow="1" w:lastColumn="0" w:lastRow="0" w:noHBand="0" w:noVBand="1" w:val="04A0"/>
      </w:tblPr>
      <w:tblGrid>
        <w:gridCol w:w="4156"/>
        <w:gridCol w:w="4156"/>
      </w:tblGrid>
      <w:tr>
        <w:trPr>
          <w:tblHeader w:val="true"/>
        </w:trPr>
        <w:tc>
          <w:tcPr>
            <w:tcW w:type="dxa" w:w="4156"/>
          </w:tcPr>
          <w:p>
            <w:pPr>
              <w:spacing w:line="240" w:lineRule="auto" w:before="20" w:after="20"/>
              <w:jc w:val="center"/>
            </w:pPr>
            <w:r/>
            <w:r>
              <w:rPr>
                <w:rFonts w:ascii="Times New Roman" w:hAnsi="Times New Roman" w:eastAsia="宋体"/>
                <w:b/>
                <w:color w:val="000000"/>
                <w:sz w:val="21"/>
              </w:rPr>
              <w:t>模型</w:t>
            </w:r>
          </w:p>
        </w:tc>
        <w:tc>
          <w:tcPr>
            <w:tcW w:type="dxa" w:w="4156"/>
          </w:tcPr>
          <w:p>
            <w:pPr>
              <w:spacing w:line="240" w:lineRule="auto" w:before="20" w:after="20"/>
              <w:jc w:val="center"/>
            </w:pPr>
            <w:r/>
            <w:r>
              <w:rPr>
                <w:rFonts w:ascii="Times New Roman" w:hAnsi="Times New Roman" w:eastAsia="宋体"/>
                <w:b/>
                <w:color w:val="000000"/>
                <w:sz w:val="21"/>
              </w:rPr>
              <w:t>主要参数</w:t>
            </w:r>
          </w:p>
        </w:tc>
      </w:tr>
      <w:tr>
        <w:tc>
          <w:tcPr>
            <w:tcW w:type="dxa" w:w="4156"/>
          </w:tcPr>
          <w:p>
            <w:pPr>
              <w:spacing w:line="240" w:lineRule="auto" w:before="20" w:after="20"/>
              <w:jc w:val="left"/>
            </w:pPr>
            <w:r/>
            <w:r>
              <w:rPr>
                <w:rFonts w:ascii="Times New Roman" w:hAnsi="Times New Roman" w:eastAsia="宋体"/>
                <w:b w:val="0"/>
                <w:color w:val="000000"/>
                <w:sz w:val="21"/>
              </w:rPr>
              <w:t>ElasticNet</w:t>
            </w:r>
          </w:p>
        </w:tc>
        <w:tc>
          <w:tcPr>
            <w:tcW w:type="dxa" w:w="4156"/>
          </w:tcPr>
          <w:p>
            <w:pPr>
              <w:spacing w:line="240" w:lineRule="auto" w:before="20" w:after="20"/>
              <w:jc w:val="left"/>
            </w:pPr>
            <w:r/>
            <w:r>
              <w:rPr>
                <w:rFonts w:ascii="Times New Roman" w:hAnsi="Times New Roman" w:eastAsia="宋体"/>
                <w:b w:val="0"/>
                <w:color w:val="000000"/>
                <w:sz w:val="21"/>
              </w:rPr>
              <w:t>alpha=0.01，l1_ratio=0.5，max_iter=10000；前置中位数填补与标准化</w:t>
            </w:r>
          </w:p>
        </w:tc>
      </w:tr>
      <w:tr>
        <w:tc>
          <w:tcPr>
            <w:tcW w:type="dxa" w:w="4156"/>
          </w:tcPr>
          <w:p>
            <w:pPr>
              <w:spacing w:line="240" w:lineRule="auto" w:before="20" w:after="20"/>
              <w:jc w:val="left"/>
            </w:pPr>
            <w:r/>
            <w:r>
              <w:rPr>
                <w:rFonts w:ascii="Times New Roman" w:hAnsi="Times New Roman" w:eastAsia="宋体"/>
                <w:b w:val="0"/>
                <w:color w:val="000000"/>
                <w:sz w:val="21"/>
              </w:rPr>
              <w:t>ElasticNet（调参版）</w:t>
            </w:r>
          </w:p>
        </w:tc>
        <w:tc>
          <w:tcPr>
            <w:tcW w:type="dxa" w:w="4156"/>
          </w:tcPr>
          <w:p>
            <w:pPr>
              <w:spacing w:line="240" w:lineRule="auto" w:before="20" w:after="20"/>
              <w:jc w:val="left"/>
            </w:pPr>
            <w:r/>
            <w:r>
              <w:rPr>
                <w:rFonts w:ascii="Times New Roman" w:hAnsi="Times New Roman" w:eastAsia="宋体"/>
                <w:b w:val="0"/>
                <w:color w:val="000000"/>
                <w:sz w:val="21"/>
              </w:rPr>
              <w:t>alpha=0.1013，l1_ratio=0.6873（分品种调优）</w:t>
            </w:r>
          </w:p>
        </w:tc>
      </w:tr>
      <w:tr>
        <w:tc>
          <w:tcPr>
            <w:tcW w:type="dxa" w:w="4156"/>
          </w:tcPr>
          <w:p>
            <w:pPr>
              <w:spacing w:line="240" w:lineRule="auto" w:before="20" w:after="20"/>
              <w:jc w:val="left"/>
            </w:pPr>
            <w:r/>
            <w:r>
              <w:rPr>
                <w:rFonts w:ascii="Times New Roman" w:hAnsi="Times New Roman" w:eastAsia="宋体"/>
                <w:b w:val="0"/>
                <w:color w:val="000000"/>
                <w:sz w:val="21"/>
              </w:rPr>
              <w:t>ExtraTrees</w:t>
            </w:r>
          </w:p>
        </w:tc>
        <w:tc>
          <w:tcPr>
            <w:tcW w:type="dxa" w:w="4156"/>
          </w:tcPr>
          <w:p>
            <w:pPr>
              <w:spacing w:line="240" w:lineRule="auto" w:before="20" w:after="20"/>
              <w:jc w:val="left"/>
            </w:pPr>
            <w:r/>
            <w:r>
              <w:rPr>
                <w:rFonts w:ascii="Times New Roman" w:hAnsi="Times New Roman" w:eastAsia="宋体"/>
                <w:b w:val="0"/>
                <w:color w:val="000000"/>
                <w:sz w:val="21"/>
              </w:rPr>
              <w:t>n_estimators=400，min_samples_leaf=3</w:t>
            </w:r>
          </w:p>
        </w:tc>
      </w:tr>
      <w:tr>
        <w:tc>
          <w:tcPr>
            <w:tcW w:type="dxa" w:w="4156"/>
          </w:tcPr>
          <w:p>
            <w:pPr>
              <w:spacing w:line="240" w:lineRule="auto" w:before="20" w:after="20"/>
              <w:jc w:val="left"/>
            </w:pPr>
            <w:r/>
            <w:r>
              <w:rPr>
                <w:rFonts w:ascii="Times New Roman" w:hAnsi="Times New Roman" w:eastAsia="宋体"/>
                <w:b w:val="0"/>
                <w:color w:val="000000"/>
                <w:sz w:val="21"/>
              </w:rPr>
              <w:t>ExtraTrees（调参版）</w:t>
            </w:r>
          </w:p>
        </w:tc>
        <w:tc>
          <w:tcPr>
            <w:tcW w:type="dxa" w:w="4156"/>
          </w:tcPr>
          <w:p>
            <w:pPr>
              <w:spacing w:line="240" w:lineRule="auto" w:before="20" w:after="20"/>
              <w:jc w:val="left"/>
            </w:pPr>
            <w:r/>
            <w:r>
              <w:rPr>
                <w:rFonts w:ascii="Times New Roman" w:hAnsi="Times New Roman" w:eastAsia="宋体"/>
                <w:b w:val="0"/>
                <w:color w:val="000000"/>
                <w:sz w:val="21"/>
              </w:rPr>
              <w:t>n_estimators=400，min_samples_leaf=10，max_features=0.7856</w:t>
            </w:r>
          </w:p>
        </w:tc>
      </w:tr>
      <w:tr>
        <w:tc>
          <w:tcPr>
            <w:tcW w:type="dxa" w:w="4156"/>
          </w:tcPr>
          <w:p>
            <w:pPr>
              <w:spacing w:line="240" w:lineRule="auto" w:before="20" w:after="20"/>
              <w:jc w:val="left"/>
            </w:pPr>
            <w:r/>
            <w:r>
              <w:rPr>
                <w:rFonts w:ascii="Times New Roman" w:hAnsi="Times New Roman" w:eastAsia="宋体"/>
                <w:b w:val="0"/>
                <w:color w:val="000000"/>
                <w:sz w:val="21"/>
              </w:rPr>
              <w:t>CatBoost</w:t>
            </w:r>
          </w:p>
        </w:tc>
        <w:tc>
          <w:tcPr>
            <w:tcW w:type="dxa" w:w="4156"/>
          </w:tcPr>
          <w:p>
            <w:pPr>
              <w:spacing w:line="240" w:lineRule="auto" w:before="20" w:after="20"/>
              <w:jc w:val="left"/>
            </w:pPr>
            <w:r/>
            <w:r>
              <w:rPr>
                <w:rFonts w:ascii="Times New Roman" w:hAnsi="Times New Roman" w:eastAsia="宋体"/>
                <w:b w:val="0"/>
                <w:color w:val="000000"/>
                <w:sz w:val="21"/>
              </w:rPr>
              <w:t>iterations=400，learning_rate=0.05，depth=6</w:t>
            </w:r>
          </w:p>
        </w:tc>
      </w:tr>
      <w:tr>
        <w:tc>
          <w:tcPr>
            <w:tcW w:type="dxa" w:w="4156"/>
          </w:tcPr>
          <w:p>
            <w:pPr>
              <w:spacing w:line="240" w:lineRule="auto" w:before="20" w:after="20"/>
              <w:jc w:val="left"/>
            </w:pPr>
            <w:r/>
            <w:r>
              <w:rPr>
                <w:rFonts w:ascii="Times New Roman" w:hAnsi="Times New Roman" w:eastAsia="宋体"/>
                <w:b w:val="0"/>
                <w:color w:val="000000"/>
                <w:sz w:val="21"/>
              </w:rPr>
              <w:t>历史梯度提升（对照）</w:t>
            </w:r>
          </w:p>
        </w:tc>
        <w:tc>
          <w:tcPr>
            <w:tcW w:type="dxa" w:w="4156"/>
          </w:tcPr>
          <w:p>
            <w:pPr>
              <w:spacing w:line="240" w:lineRule="auto" w:before="20" w:after="20"/>
              <w:jc w:val="left"/>
            </w:pPr>
            <w:r/>
            <w:r>
              <w:rPr>
                <w:rFonts w:ascii="Times New Roman" w:hAnsi="Times New Roman" w:eastAsia="宋体"/>
                <w:b w:val="0"/>
                <w:color w:val="000000"/>
                <w:sz w:val="21"/>
              </w:rPr>
              <w:t>max_iter=300，learning_rate=0.06，max_leaf_nodes=31</w:t>
            </w:r>
          </w:p>
        </w:tc>
      </w:tr>
      <w:tr>
        <w:tc>
          <w:tcPr>
            <w:tcW w:type="dxa" w:w="4156"/>
          </w:tcPr>
          <w:p>
            <w:pPr>
              <w:spacing w:line="240" w:lineRule="auto" w:before="20" w:after="20"/>
              <w:jc w:val="left"/>
            </w:pPr>
            <w:r/>
            <w:r>
              <w:rPr>
                <w:rFonts w:ascii="Times New Roman" w:hAnsi="Times New Roman" w:eastAsia="宋体"/>
                <w:b w:val="0"/>
                <w:color w:val="000000"/>
                <w:sz w:val="21"/>
              </w:rPr>
              <w:t>朴素基线</w:t>
            </w:r>
          </w:p>
        </w:tc>
        <w:tc>
          <w:tcPr>
            <w:tcW w:type="dxa" w:w="4156"/>
          </w:tcPr>
          <w:p>
            <w:pPr>
              <w:spacing w:line="240" w:lineRule="auto" w:before="20" w:after="20"/>
              <w:jc w:val="left"/>
            </w:pPr>
            <w:r/>
            <w:r>
              <w:rPr>
                <w:rFonts w:ascii="Times New Roman" w:hAnsi="Times New Roman" w:eastAsia="宋体"/>
                <w:b w:val="0"/>
                <w:color w:val="000000"/>
                <w:sz w:val="21"/>
              </w:rPr>
              <w:t>上一期价格、7 日与 30 日移动平均、同月季节中位数、上年同期窗口均值</w:t>
            </w:r>
          </w:p>
        </w:tc>
      </w:tr>
    </w:tbl>
    <w:p>
      <w:pPr>
        <w:spacing w:before="0"/>
      </w:pPr>
    </w:p>
    <w:p>
      <w:pPr>
        <w:spacing w:line="300" w:lineRule="auto" w:before="140" w:after="0"/>
        <w:ind w:firstLine="560"/>
        <w:jc w:val="left"/>
      </w:pPr>
      <w:r>
        <w:rPr>
          <w:rFonts w:ascii="Times New Roman" w:hAnsi="Times New Roman" w:eastAsia="宋体"/>
          <w:b w:val="0"/>
          <w:color w:val="000000"/>
          <w:sz w:val="28"/>
        </w:rPr>
        <w:t>训练管线统一为"中位数填补 +（线性模型另行标准化）"，随机种子固定为 42。策略权重为：风险平衡策略 0.30×预测收益分位 + 0.20×预测低分位收益，并抑制市场风险与追高；最小尾部风险策略为预测下分位收益 − 0.5×HRI 分位×预测收益；HRI 六组件权重依次为 0.30、0.25、0.15、0.10、0.15、0.05。切点方案为 7 天步长 128 个与 30 天步长 31 个。评价指标为 WAPE、MAE、RMSE、sMAPE 与方向准确率。</w:t>
      </w:r>
    </w:p>
    <w:p>
      <w:pPr>
        <w:pStyle w:val="Heading2"/>
        <w:spacing w:line="300" w:lineRule="auto" w:before="200" w:after="80"/>
      </w:pPr>
      <w:r>
        <w:rPr>
          <w:rFonts w:ascii="Times New Roman" w:hAnsi="Times New Roman" w:eastAsia="黑体"/>
          <w:b/>
          <w:color w:val="000000"/>
          <w:sz w:val="28"/>
        </w:rPr>
        <w:t>附录 3　复现与审计清单</w:t>
      </w:r>
    </w:p>
    <w:p>
      <w:pPr>
        <w:spacing w:line="300" w:lineRule="auto" w:before="60" w:after="0"/>
        <w:ind w:left="420"/>
        <w:jc w:val="left"/>
      </w:pPr>
      <w:r>
        <w:rPr>
          <w:rFonts w:ascii="Times New Roman" w:hAnsi="Times New Roman" w:eastAsia="宋体"/>
          <w:b w:val="0"/>
          <w:color w:val="000000"/>
          <w:sz w:val="28"/>
        </w:rPr>
        <w:t>·输入快照：`final_v1`，逐文件记录 SHA256 指纹</w:t>
      </w:r>
    </w:p>
    <w:p>
      <w:pPr>
        <w:spacing w:line="300" w:lineRule="auto" w:before="60" w:after="0"/>
        <w:ind w:left="420"/>
        <w:jc w:val="left"/>
      </w:pPr>
      <w:r>
        <w:rPr>
          <w:rFonts w:ascii="Times New Roman" w:hAnsi="Times New Roman" w:eastAsia="宋体"/>
          <w:b w:val="0"/>
          <w:color w:val="000000"/>
          <w:sz w:val="28"/>
        </w:rPr>
        <w:t>·随机种子：42；运行时设置 `PYTHONHASHSEED=0`</w:t>
      </w:r>
    </w:p>
    <w:p>
      <w:pPr>
        <w:spacing w:line="300" w:lineRule="auto" w:before="60" w:after="0"/>
        <w:ind w:left="420"/>
        <w:jc w:val="left"/>
      </w:pPr>
      <w:r>
        <w:rPr>
          <w:rFonts w:ascii="Times New Roman" w:hAnsi="Times New Roman" w:eastAsia="宋体"/>
          <w:b w:val="0"/>
          <w:color w:val="000000"/>
          <w:sz w:val="28"/>
        </w:rPr>
        <w:t>·时间切分：训练至 2023-12-31 / 2024-12-31 / 2025-12-31；测试为 2024 / 2025 / 2026（至 2026-09-14）</w:t>
      </w:r>
    </w:p>
    <w:p>
      <w:pPr>
        <w:spacing w:line="300" w:lineRule="auto" w:before="60" w:after="0"/>
        <w:ind w:left="420"/>
        <w:jc w:val="left"/>
      </w:pPr>
      <w:r>
        <w:rPr>
          <w:rFonts w:ascii="Times New Roman" w:hAnsi="Times New Roman" w:eastAsia="宋体"/>
          <w:b w:val="0"/>
          <w:color w:val="000000"/>
          <w:sz w:val="28"/>
        </w:rPr>
        <w:t>·标签 purge：训练与测试两端均要求前瞻窗口落在各自边界之内</w:t>
      </w:r>
    </w:p>
    <w:p>
      <w:pPr>
        <w:spacing w:line="300" w:lineRule="auto" w:before="60" w:after="0"/>
        <w:ind w:left="420"/>
        <w:jc w:val="left"/>
      </w:pPr>
      <w:r>
        <w:rPr>
          <w:rFonts w:ascii="Times New Roman" w:hAnsi="Times New Roman" w:eastAsia="宋体"/>
          <w:b w:val="0"/>
          <w:color w:val="000000"/>
          <w:sz w:val="28"/>
        </w:rPr>
        <w:t>·特征泄漏检验：两个截断点下 63 项特征的截断不变性差异均为 0</w:t>
      </w:r>
    </w:p>
    <w:p>
      <w:pPr>
        <w:spacing w:line="300" w:lineRule="auto" w:before="60" w:after="0"/>
        <w:ind w:left="420"/>
        <w:jc w:val="left"/>
      </w:pPr>
      <w:r>
        <w:rPr>
          <w:rFonts w:ascii="Times New Roman" w:hAnsi="Times New Roman" w:eastAsia="宋体"/>
          <w:b w:val="0"/>
          <w:color w:val="000000"/>
          <w:sz w:val="28"/>
        </w:rPr>
        <w:t>·回归测试：四项方法与时间边界检验全部通过</w:t>
      </w:r>
    </w:p>
    <w:p>
      <w:pPr>
        <w:spacing w:line="300" w:lineRule="auto" w:before="60" w:after="0"/>
        <w:ind w:left="420"/>
        <w:jc w:val="left"/>
      </w:pPr>
      <w:r>
        <w:rPr>
          <w:rFonts w:ascii="Times New Roman" w:hAnsi="Times New Roman" w:eastAsia="宋体"/>
          <w:b w:val="0"/>
          <w:color w:val="000000"/>
          <w:sz w:val="28"/>
        </w:rPr>
        <w:t>·全部结果表与图表可由数据包中的脚本重新生成</w:t>
      </w:r>
    </w:p>
    <w:p>
      <w:pPr>
        <w:pStyle w:val="Heading1"/>
        <w:spacing w:line="300" w:lineRule="auto" w:before="240" w:after="120"/>
        <w:jc w:val="left"/>
      </w:pPr>
      <w:r>
        <w:rPr>
          <w:rFonts w:ascii="Times New Roman" w:hAnsi="Times New Roman" w:eastAsia="黑体"/>
          <w:b/>
          <w:color w:val="000000"/>
          <w:sz w:val="30"/>
        </w:rPr>
        <w:t>致谢</w:t>
      </w:r>
    </w:p>
    <w:p>
      <w:pPr>
        <w:spacing w:line="300" w:lineRule="auto" w:before="140" w:after="0"/>
        <w:ind w:firstLine="560"/>
        <w:jc w:val="left"/>
      </w:pPr>
      <w:r>
        <w:rPr>
          <w:rFonts w:ascii="Times New Roman" w:hAnsi="Times New Roman" w:eastAsia="宋体"/>
          <w:b w:val="0"/>
          <w:color w:val="000000"/>
          <w:sz w:val="28"/>
        </w:rPr>
        <w:t>（本节由参赛队撰写真实致谢内容后填入。）</w:t>
      </w:r>
    </w:p>
    <w:sectPr w:rsidR="00FC693F" w:rsidRPr="0006063C" w:rsidSect="00034616">
      <w:footerReference w:type="default" r:id="rId10"/>
      <w:pgSz w:w="11906" w:h="16838"/>
      <w:pgMar w:top="1440" w:right="1797" w:bottom="1440" w:left="179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000000"/>
        <w:sz w:val="21"/>
      </w:rPr>
      <w:t xml:space="preserve">— </w:t>
    </w:r>
    <w:r>
      <w:fldChar w:fldCharType="begin"/>
      <w:instrText xml:space="preserve">PAGE</w:instrText>
      <w:fldChar w:fldCharType="separate"/>
      <w:t>（Word 打开时自动更新）</w:t>
      <w:fldChar w:fldCharType="end"/>
    </w:r>
    <w:r>
      <w:rPr>
        <w:rFonts w:ascii="Times New Roman" w:hAnsi="Times New Roman" w:eastAsia="宋体"/>
        <w:b w:val="0"/>
        <w:color w:val="000000"/>
        <w:sz w:val="21"/>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