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7C15" w14:textId="3EF15BD7" w:rsidR="00792B84" w:rsidRPr="00A80C75" w:rsidRDefault="00A80C75" w:rsidP="006E08FE">
      <w:pPr>
        <w:jc w:val="center"/>
        <w:rPr>
          <w:b/>
          <w:bCs/>
          <w:color w:val="2F5496" w:themeColor="accent1" w:themeShade="BF"/>
          <w:sz w:val="32"/>
          <w:szCs w:val="32"/>
        </w:rPr>
      </w:pPr>
      <w:r w:rsidRPr="00A80C75">
        <w:rPr>
          <w:b/>
          <w:bCs/>
          <w:color w:val="2F5496" w:themeColor="accent1" w:themeShade="BF"/>
          <w:sz w:val="32"/>
          <w:szCs w:val="32"/>
        </w:rPr>
        <w:t>Arctic P12 Max Fan Simple Characterization</w:t>
      </w:r>
    </w:p>
    <w:p w14:paraId="6364C4DF" w14:textId="77777777" w:rsidR="00CE707F" w:rsidRDefault="00CE707F" w:rsidP="006E08FE">
      <w:pPr>
        <w:jc w:val="both"/>
      </w:pPr>
    </w:p>
    <w:p w14:paraId="34BC6BFC" w14:textId="77777777" w:rsidR="00763997" w:rsidRDefault="00763997" w:rsidP="006E08FE">
      <w:pPr>
        <w:jc w:val="both"/>
      </w:pPr>
    </w:p>
    <w:p w14:paraId="05840240" w14:textId="4F70E087" w:rsidR="00CE707F" w:rsidRDefault="00A80C75" w:rsidP="006E08FE">
      <w:pPr>
        <w:jc w:val="both"/>
      </w:pPr>
      <w:r w:rsidRPr="00A80C75">
        <w:t>This document describes a very s</w:t>
      </w:r>
      <w:r>
        <w:t xml:space="preserve">imple characterization made on one Arctic P12 Max Fan unit with the purpose of simply having an idea of the average current that the unit consumes whenever turning it On. Therefore, this is by far not a professional characterization and more </w:t>
      </w:r>
      <w:proofErr w:type="gramStart"/>
      <w:r>
        <w:t>units</w:t>
      </w:r>
      <w:proofErr w:type="gramEnd"/>
      <w:r>
        <w:t xml:space="preserve"> and a more rigorous methodology must be followed to achieve representative results, which is not the </w:t>
      </w:r>
      <w:proofErr w:type="gramStart"/>
      <w:r>
        <w:t>end-goal</w:t>
      </w:r>
      <w:proofErr w:type="gramEnd"/>
      <w:r>
        <w:t xml:space="preserve"> of this work. Having that in mind, also know that for each measurement taken, it was guaranteed that the Fan was completely turned Off and was not either consuming or emitting any current at all, at least that was observable from an oscilloscope.</w:t>
      </w:r>
      <w:r w:rsidR="005D15D3">
        <w:t xml:space="preserve"> </w:t>
      </w:r>
      <w:r w:rsidR="008A447E">
        <w:t>Also</w:t>
      </w:r>
      <w:r w:rsidR="005D15D3">
        <w:t>, note that no sophisticated circuit was employed for these measurements and that only the Fan was connected directly to a Modular D.C. Power Supply.</w:t>
      </w:r>
      <w:r w:rsidR="008A447E">
        <w:t xml:space="preserve"> Finally, know that the measurements were taken with a multimeter.</w:t>
      </w:r>
    </w:p>
    <w:p w14:paraId="7591730E" w14:textId="77777777" w:rsidR="005D15D3" w:rsidRDefault="005D15D3" w:rsidP="006E08FE">
      <w:pPr>
        <w:jc w:val="both"/>
      </w:pPr>
    </w:p>
    <w:tbl>
      <w:tblPr>
        <w:tblStyle w:val="TableGrid"/>
        <w:tblW w:w="0" w:type="auto"/>
        <w:tblLook w:val="04A0" w:firstRow="1" w:lastRow="0" w:firstColumn="1" w:lastColumn="0" w:noHBand="0" w:noVBand="1"/>
      </w:tblPr>
      <w:tblGrid>
        <w:gridCol w:w="2337"/>
        <w:gridCol w:w="2337"/>
        <w:gridCol w:w="2338"/>
        <w:gridCol w:w="2338"/>
      </w:tblGrid>
      <w:tr w:rsidR="00556D6A" w14:paraId="486F18E2" w14:textId="77777777" w:rsidTr="00F06786">
        <w:tc>
          <w:tcPr>
            <w:tcW w:w="9350" w:type="dxa"/>
            <w:gridSpan w:val="4"/>
          </w:tcPr>
          <w:p w14:paraId="523EA5E5" w14:textId="025BC53B" w:rsidR="00556D6A" w:rsidRPr="00556D6A" w:rsidRDefault="00556D6A" w:rsidP="00556D6A">
            <w:pPr>
              <w:jc w:val="center"/>
              <w:rPr>
                <w:b/>
                <w:bCs/>
                <w:sz w:val="28"/>
                <w:szCs w:val="28"/>
              </w:rPr>
            </w:pPr>
            <w:r w:rsidRPr="00556D6A">
              <w:rPr>
                <w:b/>
                <w:bCs/>
                <w:sz w:val="28"/>
                <w:szCs w:val="28"/>
              </w:rPr>
              <w:t>Arctic P12 Max Fan</w:t>
            </w:r>
            <w:r>
              <w:rPr>
                <w:b/>
                <w:bCs/>
                <w:sz w:val="28"/>
                <w:szCs w:val="28"/>
              </w:rPr>
              <w:t xml:space="preserve"> Characterization Measurements</w:t>
            </w:r>
          </w:p>
        </w:tc>
      </w:tr>
      <w:tr w:rsidR="00556D6A" w14:paraId="3977CE6B" w14:textId="77777777" w:rsidTr="004102FA">
        <w:tc>
          <w:tcPr>
            <w:tcW w:w="2337" w:type="dxa"/>
            <w:shd w:val="clear" w:color="auto" w:fill="8EAADB" w:themeFill="accent1" w:themeFillTint="99"/>
          </w:tcPr>
          <w:p w14:paraId="4514BDCE" w14:textId="77777777" w:rsidR="00556D6A" w:rsidRPr="007F06F3" w:rsidRDefault="00000000" w:rsidP="00556D6A">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14:paraId="691A7602" w14:textId="50A4615E" w:rsidR="007F06F3" w:rsidRDefault="007F06F3" w:rsidP="00556D6A">
            <w:pPr>
              <w:jc w:val="center"/>
            </w:pPr>
            <w:r>
              <w:t>(Volts)</w:t>
            </w:r>
          </w:p>
        </w:tc>
        <w:tc>
          <w:tcPr>
            <w:tcW w:w="2337" w:type="dxa"/>
            <w:shd w:val="clear" w:color="auto" w:fill="8EAADB" w:themeFill="accent1" w:themeFillTint="99"/>
          </w:tcPr>
          <w:p w14:paraId="0008AD3D" w14:textId="77777777" w:rsidR="00556D6A" w:rsidRDefault="008A447E" w:rsidP="00556D6A">
            <w:pPr>
              <w:jc w:val="center"/>
              <w:rPr>
                <w:rFonts w:eastAsiaTheme="minorEastAsia"/>
              </w:rPr>
            </w:pPr>
            <w:r>
              <w:rPr>
                <w:rFonts w:eastAsiaTheme="minorEastAsia"/>
              </w:rPr>
              <w:t xml:space="preserve">Maximum </w:t>
            </w:r>
            <m:oMath>
              <m:sSub>
                <m:sSubPr>
                  <m:ctrlPr>
                    <w:rPr>
                      <w:rFonts w:ascii="Cambria Math" w:hAnsi="Cambria Math"/>
                      <w:i/>
                    </w:rPr>
                  </m:ctrlPr>
                </m:sSubPr>
                <m:e>
                  <m:r>
                    <w:rPr>
                      <w:rFonts w:ascii="Cambria Math" w:hAnsi="Cambria Math"/>
                    </w:rPr>
                    <m:t>I</m:t>
                  </m:r>
                </m:e>
                <m:sub>
                  <m:r>
                    <w:rPr>
                      <w:rFonts w:ascii="Cambria Math" w:hAnsi="Cambria Math"/>
                    </w:rPr>
                    <m:t>avg</m:t>
                  </m:r>
                </m:sub>
              </m:sSub>
            </m:oMath>
          </w:p>
          <w:p w14:paraId="372E17C0" w14:textId="2D665236" w:rsidR="007F06F3" w:rsidRDefault="007F06F3" w:rsidP="00556D6A">
            <w:pPr>
              <w:jc w:val="center"/>
            </w:pPr>
            <w:r>
              <w:t>(Amperes)</w:t>
            </w:r>
          </w:p>
        </w:tc>
        <w:tc>
          <w:tcPr>
            <w:tcW w:w="2338" w:type="dxa"/>
            <w:shd w:val="clear" w:color="auto" w:fill="8EAADB" w:themeFill="accent1" w:themeFillTint="99"/>
          </w:tcPr>
          <w:p w14:paraId="67EAF102" w14:textId="77777777" w:rsidR="00556D6A" w:rsidRPr="007F06F3" w:rsidRDefault="00000000" w:rsidP="00556D6A">
            <w:pPr>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ss</m:t>
                    </m:r>
                  </m:sub>
                </m:sSub>
              </m:oMath>
            </m:oMathPara>
          </w:p>
          <w:p w14:paraId="7E51DF3D" w14:textId="041ED5AD" w:rsidR="007F06F3" w:rsidRDefault="007F06F3" w:rsidP="00556D6A">
            <w:pPr>
              <w:jc w:val="center"/>
            </w:pPr>
            <w:r>
              <w:t>(Amperes)</w:t>
            </w:r>
          </w:p>
        </w:tc>
        <w:tc>
          <w:tcPr>
            <w:tcW w:w="2338" w:type="dxa"/>
            <w:shd w:val="clear" w:color="auto" w:fill="8EAADB" w:themeFill="accent1" w:themeFillTint="99"/>
          </w:tcPr>
          <w:p w14:paraId="1D4C4ADB" w14:textId="77777777" w:rsidR="00556D6A" w:rsidRPr="007F06F3" w:rsidRDefault="00000000" w:rsidP="00556D6A">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ss</m:t>
                    </m:r>
                  </m:sub>
                </m:sSub>
              </m:oMath>
            </m:oMathPara>
          </w:p>
          <w:p w14:paraId="25EE13BC" w14:textId="013E4950" w:rsidR="007F06F3" w:rsidRDefault="007F06F3" w:rsidP="00556D6A">
            <w:pPr>
              <w:jc w:val="center"/>
            </w:pPr>
            <w:r>
              <w:t>(seconds)</w:t>
            </w:r>
          </w:p>
        </w:tc>
      </w:tr>
      <w:tr w:rsidR="00556D6A" w14:paraId="4090CA95" w14:textId="77777777" w:rsidTr="00556D6A">
        <w:tc>
          <w:tcPr>
            <w:tcW w:w="2337" w:type="dxa"/>
          </w:tcPr>
          <w:p w14:paraId="44369E69" w14:textId="6DDED103" w:rsidR="00556D6A" w:rsidRDefault="00480A37" w:rsidP="00556D6A">
            <w:pPr>
              <w:jc w:val="center"/>
            </w:pPr>
            <w:r>
              <w:t>12</w:t>
            </w:r>
          </w:p>
        </w:tc>
        <w:tc>
          <w:tcPr>
            <w:tcW w:w="2337" w:type="dxa"/>
          </w:tcPr>
          <w:p w14:paraId="7E67FD2E" w14:textId="1E882442" w:rsidR="00556D6A" w:rsidRDefault="00E50A29" w:rsidP="00556D6A">
            <w:pPr>
              <w:jc w:val="center"/>
            </w:pPr>
            <w:r>
              <w:t>0.89</w:t>
            </w:r>
          </w:p>
        </w:tc>
        <w:tc>
          <w:tcPr>
            <w:tcW w:w="2338" w:type="dxa"/>
          </w:tcPr>
          <w:p w14:paraId="7668C226" w14:textId="11FFD1E8" w:rsidR="00556D6A" w:rsidRDefault="00E50A29" w:rsidP="00556D6A">
            <w:pPr>
              <w:jc w:val="center"/>
            </w:pPr>
            <w:r>
              <w:t>0.29</w:t>
            </w:r>
          </w:p>
        </w:tc>
        <w:tc>
          <w:tcPr>
            <w:tcW w:w="2338" w:type="dxa"/>
          </w:tcPr>
          <w:p w14:paraId="2BED1023" w14:textId="06A02C21" w:rsidR="00556D6A" w:rsidRDefault="00E50A29" w:rsidP="00556D6A">
            <w:pPr>
              <w:jc w:val="center"/>
            </w:pPr>
            <w:r>
              <w:t>7</w:t>
            </w:r>
          </w:p>
        </w:tc>
      </w:tr>
      <w:tr w:rsidR="00556D6A" w14:paraId="0D06FDF8" w14:textId="77777777" w:rsidTr="00556D6A">
        <w:tc>
          <w:tcPr>
            <w:tcW w:w="2337" w:type="dxa"/>
          </w:tcPr>
          <w:p w14:paraId="0DB894FE" w14:textId="1F12C89A" w:rsidR="00556D6A" w:rsidRDefault="00480A37" w:rsidP="00556D6A">
            <w:pPr>
              <w:jc w:val="center"/>
            </w:pPr>
            <w:r>
              <w:t>10</w:t>
            </w:r>
          </w:p>
        </w:tc>
        <w:tc>
          <w:tcPr>
            <w:tcW w:w="2337" w:type="dxa"/>
          </w:tcPr>
          <w:p w14:paraId="7D388619" w14:textId="30849715" w:rsidR="00556D6A" w:rsidRDefault="00E50A29" w:rsidP="00556D6A">
            <w:pPr>
              <w:jc w:val="center"/>
            </w:pPr>
            <w:r>
              <w:t>0.7</w:t>
            </w:r>
          </w:p>
        </w:tc>
        <w:tc>
          <w:tcPr>
            <w:tcW w:w="2338" w:type="dxa"/>
          </w:tcPr>
          <w:p w14:paraId="7C7D6543" w14:textId="2BA145D8" w:rsidR="00556D6A" w:rsidRDefault="00E50A29" w:rsidP="00556D6A">
            <w:pPr>
              <w:jc w:val="center"/>
            </w:pPr>
            <w:r>
              <w:t>0.24</w:t>
            </w:r>
          </w:p>
        </w:tc>
        <w:tc>
          <w:tcPr>
            <w:tcW w:w="2338" w:type="dxa"/>
          </w:tcPr>
          <w:p w14:paraId="71A2C907" w14:textId="49C99DFB" w:rsidR="00556D6A" w:rsidRDefault="00E50A29" w:rsidP="00556D6A">
            <w:pPr>
              <w:jc w:val="center"/>
            </w:pPr>
            <w:r>
              <w:t>6</w:t>
            </w:r>
          </w:p>
        </w:tc>
      </w:tr>
      <w:tr w:rsidR="00556D6A" w14:paraId="09ED7EE7" w14:textId="77777777" w:rsidTr="00556D6A">
        <w:tc>
          <w:tcPr>
            <w:tcW w:w="2337" w:type="dxa"/>
          </w:tcPr>
          <w:p w14:paraId="6049C046" w14:textId="2EA68048" w:rsidR="00556D6A" w:rsidRDefault="00480A37" w:rsidP="00556D6A">
            <w:pPr>
              <w:jc w:val="center"/>
            </w:pPr>
            <w:r>
              <w:t>8</w:t>
            </w:r>
          </w:p>
        </w:tc>
        <w:tc>
          <w:tcPr>
            <w:tcW w:w="2337" w:type="dxa"/>
          </w:tcPr>
          <w:p w14:paraId="08622B94" w14:textId="16A5B0A9" w:rsidR="00556D6A" w:rsidRDefault="00E50A29" w:rsidP="00556D6A">
            <w:pPr>
              <w:jc w:val="center"/>
            </w:pPr>
            <w:r>
              <w:t>0.6</w:t>
            </w:r>
          </w:p>
        </w:tc>
        <w:tc>
          <w:tcPr>
            <w:tcW w:w="2338" w:type="dxa"/>
          </w:tcPr>
          <w:p w14:paraId="392E80B1" w14:textId="2F96C753" w:rsidR="00556D6A" w:rsidRDefault="00E50A29" w:rsidP="00556D6A">
            <w:pPr>
              <w:jc w:val="center"/>
            </w:pPr>
            <w:r>
              <w:t>0.19</w:t>
            </w:r>
          </w:p>
        </w:tc>
        <w:tc>
          <w:tcPr>
            <w:tcW w:w="2338" w:type="dxa"/>
          </w:tcPr>
          <w:p w14:paraId="480BDB6B" w14:textId="1CF95990" w:rsidR="00556D6A" w:rsidRDefault="00E50A29" w:rsidP="00556D6A">
            <w:pPr>
              <w:jc w:val="center"/>
            </w:pPr>
            <w:r>
              <w:t>5.5</w:t>
            </w:r>
          </w:p>
        </w:tc>
      </w:tr>
      <w:tr w:rsidR="00556D6A" w14:paraId="21F84BEC" w14:textId="77777777" w:rsidTr="00556D6A">
        <w:tc>
          <w:tcPr>
            <w:tcW w:w="2337" w:type="dxa"/>
          </w:tcPr>
          <w:p w14:paraId="772A0E06" w14:textId="449416CF" w:rsidR="00556D6A" w:rsidRDefault="00480A37" w:rsidP="00556D6A">
            <w:pPr>
              <w:jc w:val="center"/>
            </w:pPr>
            <w:r>
              <w:t>6</w:t>
            </w:r>
          </w:p>
        </w:tc>
        <w:tc>
          <w:tcPr>
            <w:tcW w:w="2337" w:type="dxa"/>
          </w:tcPr>
          <w:p w14:paraId="2368FF88" w14:textId="7B81CEB1" w:rsidR="00556D6A" w:rsidRDefault="00E50A29" w:rsidP="00556D6A">
            <w:pPr>
              <w:jc w:val="center"/>
            </w:pPr>
            <w:r>
              <w:t>0.42</w:t>
            </w:r>
          </w:p>
        </w:tc>
        <w:tc>
          <w:tcPr>
            <w:tcW w:w="2338" w:type="dxa"/>
          </w:tcPr>
          <w:p w14:paraId="0E1FC7EC" w14:textId="79444BB5" w:rsidR="00556D6A" w:rsidRDefault="00E50A29" w:rsidP="00556D6A">
            <w:pPr>
              <w:jc w:val="center"/>
            </w:pPr>
            <w:r>
              <w:t>0.135</w:t>
            </w:r>
          </w:p>
        </w:tc>
        <w:tc>
          <w:tcPr>
            <w:tcW w:w="2338" w:type="dxa"/>
          </w:tcPr>
          <w:p w14:paraId="74454F18" w14:textId="0BF22A01" w:rsidR="00556D6A" w:rsidRDefault="00E50A29" w:rsidP="00556D6A">
            <w:pPr>
              <w:jc w:val="center"/>
            </w:pPr>
            <w:r>
              <w:t>5.5</w:t>
            </w:r>
          </w:p>
        </w:tc>
      </w:tr>
      <w:tr w:rsidR="00556D6A" w14:paraId="350465DC" w14:textId="77777777" w:rsidTr="00556D6A">
        <w:tc>
          <w:tcPr>
            <w:tcW w:w="2337" w:type="dxa"/>
          </w:tcPr>
          <w:p w14:paraId="4D856E7B" w14:textId="003BD613" w:rsidR="00556D6A" w:rsidRDefault="00480A37" w:rsidP="00556D6A">
            <w:pPr>
              <w:jc w:val="center"/>
            </w:pPr>
            <w:r>
              <w:t>4</w:t>
            </w:r>
          </w:p>
        </w:tc>
        <w:tc>
          <w:tcPr>
            <w:tcW w:w="2337" w:type="dxa"/>
          </w:tcPr>
          <w:p w14:paraId="12EC450B" w14:textId="3E7F5AB8" w:rsidR="00556D6A" w:rsidRDefault="00E50A29" w:rsidP="00556D6A">
            <w:pPr>
              <w:jc w:val="center"/>
            </w:pPr>
            <w:r>
              <w:t>0.34</w:t>
            </w:r>
          </w:p>
        </w:tc>
        <w:tc>
          <w:tcPr>
            <w:tcW w:w="2338" w:type="dxa"/>
          </w:tcPr>
          <w:p w14:paraId="0D21811B" w14:textId="34ED1735" w:rsidR="00556D6A" w:rsidRDefault="00E50A29" w:rsidP="00556D6A">
            <w:pPr>
              <w:jc w:val="center"/>
            </w:pPr>
            <w:r>
              <w:t>0.08</w:t>
            </w:r>
          </w:p>
        </w:tc>
        <w:tc>
          <w:tcPr>
            <w:tcW w:w="2338" w:type="dxa"/>
          </w:tcPr>
          <w:p w14:paraId="59628E92" w14:textId="64421ACA" w:rsidR="00556D6A" w:rsidRDefault="00E50A29" w:rsidP="00556D6A">
            <w:pPr>
              <w:jc w:val="center"/>
            </w:pPr>
            <w:r>
              <w:t>5</w:t>
            </w:r>
          </w:p>
        </w:tc>
      </w:tr>
    </w:tbl>
    <w:p w14:paraId="43E9E190" w14:textId="39EB1ED6" w:rsidR="00556D6A" w:rsidRPr="00A80C75" w:rsidRDefault="00105C07" w:rsidP="006E08FE">
      <w:pPr>
        <w:jc w:val="both"/>
      </w:pPr>
      <w:r w:rsidRPr="00A35F5D">
        <w:rPr>
          <w:b/>
          <w:bCs/>
        </w:rPr>
        <w:t>NOTE:</w:t>
      </w:r>
      <w:r>
        <w:t xml:space="preserve"> </w:t>
      </w:r>
      <m:oMath>
        <m:sSub>
          <m:sSubPr>
            <m:ctrlPr>
              <w:rPr>
                <w:rFonts w:ascii="Cambria Math" w:hAnsi="Cambria Math"/>
                <w:i/>
              </w:rPr>
            </m:ctrlPr>
          </m:sSubPr>
          <m:e>
            <m:r>
              <w:rPr>
                <w:rFonts w:ascii="Cambria Math" w:hAnsi="Cambria Math"/>
              </w:rPr>
              <m:t>I</m:t>
            </m:r>
          </m:e>
          <m:sub>
            <m:r>
              <w:rPr>
                <w:rFonts w:ascii="Cambria Math" w:hAnsi="Cambria Math"/>
              </w:rPr>
              <m:t>ss</m:t>
            </m:r>
          </m:sub>
        </m:sSub>
        <m:r>
          <w:rPr>
            <w:rFonts w:ascii="Cambria Math" w:eastAsiaTheme="minorEastAsia" w:hAnsi="Cambria Math"/>
          </w:rPr>
          <m:t>=</m:t>
        </m:r>
      </m:oMath>
      <w:r>
        <w:rPr>
          <w:rFonts w:eastAsiaTheme="minorEastAsia"/>
        </w:rPr>
        <w:t xml:space="preserve"> Current at estabilization,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ss</m:t>
            </m:r>
          </m:sub>
        </m:sSub>
        <m:r>
          <w:rPr>
            <w:rFonts w:ascii="Cambria Math" w:eastAsiaTheme="minorEastAsia" w:hAnsi="Cambria Math"/>
          </w:rPr>
          <m:t>=</m:t>
        </m:r>
      </m:oMath>
      <w:r>
        <w:rPr>
          <w:rFonts w:eastAsiaTheme="minorEastAsia"/>
        </w:rPr>
        <w:t xml:space="preserve"> Time required to reach </w:t>
      </w:r>
      <w:proofErr w:type="spellStart"/>
      <w:r>
        <w:rPr>
          <w:rFonts w:eastAsiaTheme="minorEastAsia"/>
        </w:rPr>
        <w:t>estabilization</w:t>
      </w:r>
      <w:proofErr w:type="spellEnd"/>
      <w:r>
        <w:rPr>
          <w:rFonts w:eastAsiaTheme="minorEastAsia"/>
        </w:rPr>
        <w:t>.</w:t>
      </w:r>
    </w:p>
    <w:p w14:paraId="069A050F" w14:textId="77777777" w:rsidR="00CE707F" w:rsidRDefault="00CE707F" w:rsidP="006E08FE">
      <w:pPr>
        <w:jc w:val="both"/>
      </w:pPr>
    </w:p>
    <w:p w14:paraId="52A20485" w14:textId="77777777" w:rsidR="009A72F3" w:rsidRPr="00A80C75" w:rsidRDefault="009A72F3" w:rsidP="006E08FE">
      <w:pPr>
        <w:jc w:val="both"/>
      </w:pPr>
    </w:p>
    <w:p w14:paraId="498A915A" w14:textId="029EB26D" w:rsidR="00CE707F" w:rsidRPr="00A80C75" w:rsidRDefault="00682462" w:rsidP="006E08FE">
      <w:pPr>
        <w:jc w:val="both"/>
      </w:pPr>
      <w:r w:rsidRPr="00A35F5D">
        <w:rPr>
          <w:b/>
          <w:bCs/>
        </w:rPr>
        <w:t>OBSERVATION 1:</w:t>
      </w:r>
      <w:r>
        <w:t xml:space="preserve"> This fan emits oscillatory voltage each time you cut off its power. Also, the CFM is not the same with respect to the input PWM if you are increasing it and lowering it back over and over (probably due to the oscillatory voltage). As a result, it is expected that this fan will not have its CFM changed linearly with respect to an input PWM given to it due to the explained behavior.</w:t>
      </w:r>
    </w:p>
    <w:p w14:paraId="178BA238" w14:textId="77777777" w:rsidR="00CE707F" w:rsidRPr="00A80C75" w:rsidRDefault="00CE707F" w:rsidP="006E08FE">
      <w:pPr>
        <w:jc w:val="both"/>
      </w:pPr>
    </w:p>
    <w:p w14:paraId="0578CB96" w14:textId="77777777" w:rsidR="00CE707F" w:rsidRPr="00A80C75" w:rsidRDefault="00CE707F" w:rsidP="006E08FE">
      <w:pPr>
        <w:jc w:val="both"/>
      </w:pPr>
    </w:p>
    <w:p w14:paraId="1BB1968C" w14:textId="77777777" w:rsidR="00CE707F" w:rsidRPr="00A80C75" w:rsidRDefault="00CE707F" w:rsidP="006E08FE">
      <w:pPr>
        <w:jc w:val="both"/>
      </w:pPr>
    </w:p>
    <w:p w14:paraId="3D870C30" w14:textId="77777777" w:rsidR="00CE707F" w:rsidRPr="00A80C75" w:rsidRDefault="00CE707F" w:rsidP="006E08FE">
      <w:pPr>
        <w:jc w:val="both"/>
      </w:pPr>
    </w:p>
    <w:p w14:paraId="5EE942DD" w14:textId="77777777" w:rsidR="00CE707F" w:rsidRPr="00A80C75" w:rsidRDefault="00CE707F" w:rsidP="006E08FE">
      <w:pPr>
        <w:jc w:val="both"/>
      </w:pPr>
    </w:p>
    <w:sectPr w:rsidR="00CE707F" w:rsidRPr="00A8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84"/>
    <w:rsid w:val="00105C07"/>
    <w:rsid w:val="004102FA"/>
    <w:rsid w:val="00480A37"/>
    <w:rsid w:val="00556D6A"/>
    <w:rsid w:val="005D15D3"/>
    <w:rsid w:val="00682462"/>
    <w:rsid w:val="006E08FE"/>
    <w:rsid w:val="00763997"/>
    <w:rsid w:val="00792B84"/>
    <w:rsid w:val="007F06F3"/>
    <w:rsid w:val="008A447E"/>
    <w:rsid w:val="009A72F3"/>
    <w:rsid w:val="00A2723C"/>
    <w:rsid w:val="00A35F5D"/>
    <w:rsid w:val="00A80C75"/>
    <w:rsid w:val="00B5316E"/>
    <w:rsid w:val="00CE707F"/>
    <w:rsid w:val="00E5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3EAD"/>
  <w15:chartTrackingRefBased/>
  <w15:docId w15:val="{9F5985D5-323F-4679-98E6-1DA918DA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4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Miranda Meza</dc:creator>
  <cp:keywords/>
  <dc:description/>
  <cp:lastModifiedBy>Cesar Miranda Meza</cp:lastModifiedBy>
  <cp:revision>18</cp:revision>
  <dcterms:created xsi:type="dcterms:W3CDTF">2024-01-09T23:48:00Z</dcterms:created>
  <dcterms:modified xsi:type="dcterms:W3CDTF">2024-01-10T00:04:00Z</dcterms:modified>
</cp:coreProperties>
</file>