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Times New Roman" w:hAnsi="Times New Roman" w:eastAsia="黑体"/>
          <w:b/>
          <w:color w:val="243B8F"/>
          <w:sz w:val="34"/>
        </w:rPr>
        <w:t>量子计算解析酱香型白酒高温大曲抑制乳酸菌互作效应</w:t>
      </w:r>
    </w:p>
    <w:p>
      <w:pPr>
        <w:spacing w:after="200"/>
        <w:jc w:val="center"/>
      </w:pPr>
      <w:r>
        <w:rPr>
          <w:rFonts w:ascii="Times New Roman" w:hAnsi="Times New Roman" w:eastAsia="黑体"/>
          <w:b/>
          <w:color w:val="1A1A1A"/>
          <w:sz w:val="26"/>
        </w:rPr>
        <w:t>——量子优势与技术思路（研究报告）</w:t>
      </w:r>
    </w:p>
    <w:p>
      <w:pPr>
        <w:spacing w:after="40"/>
        <w:jc w:val="center"/>
      </w:pPr>
      <w:r>
        <w:rPr>
          <w:rFonts w:ascii="Times New Roman" w:hAnsi="Times New Roman" w:eastAsia="宋体"/>
          <w:color w:val="555555"/>
          <w:sz w:val="21"/>
        </w:rPr>
        <w:t>面向「科技攻关·揭榜挂帅」第六期 04 号榜题</w:t>
      </w:r>
    </w:p>
    <w:p>
      <w:pPr>
        <w:spacing w:after="200"/>
        <w:jc w:val="center"/>
      </w:pPr>
      <w:r>
        <w:rPr>
          <w:rFonts w:ascii="Times New Roman" w:hAnsi="Times New Roman" w:eastAsia="宋体"/>
          <w:color w:val="555555"/>
          <w:sz w:val="19"/>
        </w:rPr>
        <w:t>方法学基座：量子‑经典混合玻尔兹曼能量模型（CIM + QVAE + BM） · 版本 v1</w:t>
      </w:r>
    </w:p>
    <w:p>
      <w:pPr>
        <w:pBdr>
          <w:bottom w:val="single" w:sz="6" w:space="1" w:color="243b8f"/>
        </w:pBdr>
        <w:spacing w:after="160"/>
      </w:pPr>
    </w:p>
    <w:p>
      <w:pPr>
        <w:spacing w:before="280" w:after="100"/>
      </w:pPr>
      <w:r>
        <w:rPr>
          <w:rFonts w:ascii="Times New Roman" w:hAnsi="Times New Roman" w:eastAsia="黑体"/>
          <w:b/>
          <w:color w:val="243B8F"/>
          <w:sz w:val="28"/>
        </w:rPr>
        <w:t xml:space="preserve">摘要  </w:t>
      </w:r>
    </w:p>
    <w:p>
      <w:pPr>
        <w:spacing w:before="0" w:after="80" w:line="317" w:lineRule="auto"/>
        <w:ind w:firstLine="0"/>
      </w:pPr>
      <w:r>
        <w:rPr>
          <w:rFonts w:ascii="Times New Roman" w:hAnsi="Times New Roman" w:eastAsia="宋体"/>
          <w:b w:val="0"/>
          <w:i w:val="0"/>
          <w:color w:val="1A1A1A"/>
          <w:sz w:val="21"/>
        </w:rPr>
        <w:t>酱香型白酒固态发酵中，乳酸是决定酒体风味与发酵稳定性的关键指标，而高温大曲带入酒醅的功能微生物对核心产乳酸菌（乳酸菌，LAB）的抑制机制——</w:t>
      </w:r>
      <w:r>
        <w:rPr>
          <w:rFonts w:ascii="Times New Roman" w:hAnsi="Times New Roman" w:eastAsia="宋体"/>
          <w:b/>
          <w:i w:val="0"/>
          <w:color w:val="1A1A1A"/>
          <w:sz w:val="21"/>
        </w:rPr>
        <w:t>是直接接触抑制还是经代谢物介导的非接触抑制、是广谱还是特异、作用是长效还是短效、各通路贡献几何</w:t>
      </w:r>
      <w:r>
        <w:rPr>
          <w:rFonts w:ascii="Times New Roman" w:hAnsi="Times New Roman" w:eastAsia="宋体"/>
          <w:b w:val="0"/>
          <w:i w:val="0"/>
          <w:color w:val="1A1A1A"/>
          <w:sz w:val="21"/>
        </w:rPr>
        <w:t>——迄今缺乏定量、可验证的解析框架。本报告论证：该问题的科学本质是</w:t>
      </w:r>
      <w:r>
        <w:rPr>
          <w:rFonts w:ascii="Times New Roman" w:hAnsi="Times New Roman" w:eastAsia="宋体"/>
          <w:b/>
          <w:i w:val="0"/>
          <w:color w:val="1A1A1A"/>
          <w:sz w:val="21"/>
        </w:rPr>
        <w:t>从多组学截面数据反演一张带符号的微生物直接互作网络</w:t>
      </w:r>
      <w:r>
        <w:rPr>
          <w:rFonts w:ascii="Times New Roman" w:hAnsi="Times New Roman" w:eastAsia="宋体"/>
          <w:b w:val="0"/>
          <w:i w:val="0"/>
          <w:color w:val="1A1A1A"/>
          <w:sz w:val="21"/>
        </w:rPr>
        <w:t>，在统计物理上对应</w:t>
      </w:r>
      <w:r>
        <w:rPr>
          <w:rFonts w:ascii="Times New Roman" w:hAnsi="Times New Roman" w:eastAsia="宋体"/>
          <w:b/>
          <w:i w:val="0"/>
          <w:color w:val="1A1A1A"/>
          <w:sz w:val="21"/>
        </w:rPr>
        <w:t>逆 Ising / 玻尔兹曼机学习（inverse Ising / Boltzmann machine learning）</w:t>
      </w:r>
      <w:r>
        <w:rPr>
          <w:rFonts w:ascii="Times New Roman" w:hAnsi="Times New Roman" w:eastAsia="宋体"/>
          <w:b w:val="0"/>
          <w:i w:val="0"/>
          <w:color w:val="1A1A1A"/>
          <w:sz w:val="21"/>
        </w:rPr>
        <w:t>。其计算瓶颈在于配分函数的指数复杂度与阻挫（frustration）网络下经典采样的失效；</w:t>
      </w:r>
    </w:p>
    <w:p>
      <w:pPr>
        <w:spacing w:before="0" w:after="80" w:line="317" w:lineRule="auto"/>
        <w:ind w:firstLine="0"/>
      </w:pPr>
      <w:r>
        <w:rPr>
          <w:rFonts w:ascii="Times New Roman" w:hAnsi="Times New Roman" w:eastAsia="宋体"/>
          <w:b w:val="0"/>
          <w:i w:val="0"/>
          <w:color w:val="1A1A1A"/>
          <w:sz w:val="21"/>
        </w:rPr>
        <w:t>相干伊辛机（Coherent Ising Machine, CIM）——一种以简并光参量振荡器为自旋的光量子计算硬件——能对 Ising 玻尔兹曼分布高效采样，为上述反演提供了经典方法难以企及的负相采样能力。该范式已在单细胞组学工作 scQuantaVita 中于千节点规模获得实证。本报告给出问题的严格数学表述、量子优势的精确论证与边界、三阶段技术方案（QVAE 编码 → 玻尔兹曼机互作反演 → 反事实敲除定贡献）、判据体系与验证闭环，并附合成数据的概念验证结果与验收指标映射。</w:t>
      </w:r>
    </w:p>
    <w:p>
      <w:pPr>
        <w:spacing w:before="280" w:after="100"/>
      </w:pPr>
      <w:r>
        <w:rPr>
          <w:rFonts w:ascii="Times New Roman" w:hAnsi="Times New Roman" w:eastAsia="黑体"/>
          <w:b/>
          <w:color w:val="243B8F"/>
          <w:sz w:val="28"/>
        </w:rPr>
        <w:t>1  研究背景与科学问题</w:t>
      </w:r>
    </w:p>
    <w:p>
      <w:pPr>
        <w:spacing w:before="160" w:after="60"/>
      </w:pPr>
      <w:r>
        <w:rPr>
          <w:rFonts w:ascii="Times New Roman" w:hAnsi="Times New Roman" w:eastAsia="黑体"/>
          <w:b/>
          <w:color w:val="1A1A1A"/>
          <w:sz w:val="23"/>
        </w:rPr>
        <w:t>1.1  榜题的科学核心</w:t>
      </w:r>
    </w:p>
    <w:p>
      <w:pPr>
        <w:spacing w:before="0" w:after="80" w:line="317" w:lineRule="auto"/>
        <w:ind w:firstLine="280"/>
      </w:pPr>
      <w:r>
        <w:rPr>
          <w:rFonts w:ascii="Times New Roman" w:hAnsi="Times New Roman" w:eastAsia="宋体"/>
          <w:b w:val="0"/>
          <w:i w:val="0"/>
          <w:color w:val="1A1A1A"/>
          <w:sz w:val="21"/>
        </w:rPr>
        <w:t>高温大曲是酱酒风味与发酵稳定性的核心功能微生物与代谢物源头。目前对于大曲中能进入酒醅并成功定植增殖的微生物及其代谢物特性认识不清，尤其对其中</w:t>
      </w:r>
      <w:r>
        <w:rPr>
          <w:rFonts w:ascii="Times New Roman" w:hAnsi="Times New Roman" w:eastAsia="宋体"/>
          <w:b/>
          <w:i w:val="0"/>
          <w:color w:val="1A1A1A"/>
          <w:sz w:val="21"/>
        </w:rPr>
        <w:t>抑制乳酸菌的作用方式、强度与持续机制</w:t>
      </w:r>
      <w:r>
        <w:rPr>
          <w:rFonts w:ascii="Times New Roman" w:hAnsi="Times New Roman" w:eastAsia="宋体"/>
          <w:b w:val="0"/>
          <w:i w:val="0"/>
          <w:color w:val="1A1A1A"/>
          <w:sz w:val="21"/>
        </w:rPr>
        <w:t>尚不明确。系统解析大曲来源微生物与物质在制酒过程中的迁移延续与动态演替，识别并量化抑制关键乳酸菌生长的关键因素，对揭示酿造过程中乳酸菌生长的调控具有重要意义。</w:t>
      </w:r>
    </w:p>
    <w:p>
      <w:pPr>
        <w:spacing w:before="160" w:after="60"/>
      </w:pPr>
      <w:r>
        <w:rPr>
          <w:rFonts w:ascii="Times New Roman" w:hAnsi="Times New Roman" w:eastAsia="黑体"/>
          <w:b/>
          <w:color w:val="1A1A1A"/>
          <w:sz w:val="23"/>
        </w:rPr>
        <w:t>1.2  从「相关」到「互作」：这是一个逆问题</w:t>
      </w:r>
    </w:p>
    <w:p>
      <w:pPr>
        <w:spacing w:before="0" w:after="80" w:line="317" w:lineRule="auto"/>
        <w:ind w:firstLine="280"/>
      </w:pPr>
      <w:r>
        <w:rPr>
          <w:rFonts w:ascii="Times New Roman" w:hAnsi="Times New Roman" w:eastAsia="宋体"/>
          <w:b w:val="0"/>
          <w:i w:val="0"/>
          <w:color w:val="1A1A1A"/>
          <w:sz w:val="21"/>
        </w:rPr>
        <w:t>微生物组分析中最常见的方法学误区，是把</w:t>
      </w:r>
      <w:r>
        <w:rPr>
          <w:rFonts w:ascii="Times New Roman" w:hAnsi="Times New Roman" w:eastAsia="宋体"/>
          <w:b w:val="0"/>
          <w:i/>
          <w:color w:val="1A1A1A"/>
          <w:sz w:val="21"/>
        </w:rPr>
        <w:t>相关（correlation）</w:t>
      </w:r>
      <w:r>
        <w:rPr>
          <w:rFonts w:ascii="Times New Roman" w:hAnsi="Times New Roman" w:eastAsia="宋体"/>
          <w:b w:val="0"/>
          <w:i w:val="0"/>
          <w:color w:val="1A1A1A"/>
          <w:sz w:val="21"/>
        </w:rPr>
        <w:t>等同于</w:t>
      </w:r>
      <w:r>
        <w:rPr>
          <w:rFonts w:ascii="Times New Roman" w:hAnsi="Times New Roman" w:eastAsia="宋体"/>
          <w:b w:val="0"/>
          <w:i/>
          <w:color w:val="1A1A1A"/>
          <w:sz w:val="21"/>
        </w:rPr>
        <w:t>直接互作（direct interaction）</w:t>
      </w:r>
      <w:r>
        <w:rPr>
          <w:rFonts w:ascii="Times New Roman" w:hAnsi="Times New Roman" w:eastAsia="宋体"/>
          <w:b w:val="0"/>
          <w:i w:val="0"/>
          <w:color w:val="1A1A1A"/>
          <w:sz w:val="21"/>
        </w:rPr>
        <w:t>。设菌 X 分泌抑菌代谢物 M、M 压制乳酸菌 LAB，则数据中必然观察到 corr(X, LAB) &lt; 0——但这是经由 M 的</w:t>
      </w:r>
      <w:r>
        <w:rPr>
          <w:rFonts w:ascii="Times New Roman" w:hAnsi="Times New Roman" w:eastAsia="宋体"/>
          <w:b/>
          <w:i w:val="0"/>
          <w:color w:val="1A1A1A"/>
          <w:sz w:val="21"/>
        </w:rPr>
        <w:t>间接</w:t>
      </w:r>
      <w:r>
        <w:rPr>
          <w:rFonts w:ascii="Times New Roman" w:hAnsi="Times New Roman" w:eastAsia="宋体"/>
          <w:b w:val="0"/>
          <w:i w:val="0"/>
          <w:color w:val="1A1A1A"/>
          <w:sz w:val="21"/>
        </w:rPr>
        <w:t>效应。仅凭相关无法区分：（i）X 直接接触/竞争压制 LAB（接触效应），与（ii）X 经 M 间接压制（非接触效应）。要区分二者，必须从数据中反演</w:t>
      </w:r>
      <w:r>
        <w:rPr>
          <w:rFonts w:ascii="Times New Roman" w:hAnsi="Times New Roman" w:eastAsia="宋体"/>
          <w:b/>
          <w:i w:val="0"/>
          <w:color w:val="1A1A1A"/>
          <w:sz w:val="21"/>
        </w:rPr>
        <w:t>直接耦合</w:t>
      </w:r>
      <w:r>
        <w:rPr>
          <w:rFonts w:ascii="Times New Roman" w:hAnsi="Times New Roman" w:eastAsia="宋体"/>
          <w:b w:val="0"/>
          <w:i w:val="0"/>
          <w:color w:val="1A1A1A"/>
          <w:sz w:val="21"/>
        </w:rPr>
        <w:t>而非表观相关——这正是逆 Ising 问题的核心。</w:t>
      </w:r>
    </w:p>
    <w:p>
      <w:pPr>
        <w:spacing w:before="280" w:after="100"/>
      </w:pPr>
      <w:r>
        <w:rPr>
          <w:rFonts w:ascii="Times New Roman" w:hAnsi="Times New Roman" w:eastAsia="黑体"/>
          <w:b/>
          <w:color w:val="243B8F"/>
          <w:sz w:val="28"/>
        </w:rPr>
        <w:t>2  问题的数学建模：逆 Ising / 玻尔兹曼机</w:t>
      </w:r>
    </w:p>
    <w:p>
      <w:pPr>
        <w:spacing w:before="160" w:after="60"/>
      </w:pPr>
      <w:r>
        <w:rPr>
          <w:rFonts w:ascii="Times New Roman" w:hAnsi="Times New Roman" w:eastAsia="黑体"/>
          <w:b/>
          <w:color w:val="1A1A1A"/>
          <w:sz w:val="23"/>
        </w:rPr>
        <w:t>2.1  能量模型与玻尔兹曼分布</w:t>
      </w:r>
    </w:p>
    <w:p>
      <w:pPr>
        <w:spacing w:before="0" w:after="80" w:line="317" w:lineRule="auto"/>
        <w:ind w:firstLine="280"/>
      </w:pPr>
      <w:r>
        <w:rPr>
          <w:rFonts w:ascii="Times New Roman" w:hAnsi="Times New Roman" w:eastAsia="宋体"/>
          <w:b w:val="0"/>
          <w:i w:val="0"/>
          <w:color w:val="1A1A1A"/>
          <w:sz w:val="21"/>
        </w:rPr>
        <w:t xml:space="preserve">将每个样本（某工艺节点、某轮次的一次观测）视为一个高维系统的构型：把第 i 个微生物/代谢物的丰度二值化为自旋 </w:t>
      </w:r>
      <w:r>
        <w:rPr>
          <w:rFonts w:ascii="Consolas" w:hAnsi="Consolas" w:eastAsia="宋体"/>
          <w:b w:val="0"/>
          <w:i w:val="0"/>
          <w:color w:val="1A1A1A"/>
          <w:sz w:val="21"/>
        </w:rPr>
        <w:t>sᵢ ∈ {−1, +1}</w:t>
      </w:r>
      <w:r>
        <w:rPr>
          <w:rFonts w:ascii="Times New Roman" w:hAnsi="Times New Roman" w:eastAsia="宋体"/>
          <w:b w:val="0"/>
          <w:i w:val="0"/>
          <w:color w:val="1A1A1A"/>
          <w:sz w:val="21"/>
        </w:rPr>
        <w:t>（高/低）。系统能量与玻尔兹曼分布为</w:t>
      </w:r>
    </w:p>
    <w:p>
      <w:pPr>
        <w:spacing w:before="120" w:after="120"/>
        <w:jc w:val="center"/>
      </w:pPr>
      <w:r>
        <w:rPr>
          <w:rFonts w:ascii="Times New Roman" w:hAnsi="Times New Roman" w:eastAsia="宋体"/>
          <w:i/>
          <w:sz w:val="22"/>
        </w:rPr>
        <w:t>E(s) = − Σᵢ hᵢ sᵢ − Σᵢ&lt;ⱼ Jᵢⱼ sᵢ sⱼ ,     p(s) = e^(−E(s)/kT) / Z</w:t>
      </w:r>
      <w:r>
        <w:rPr>
          <w:i w:val="0"/>
          <w:color w:val="555555"/>
          <w:sz w:val="20"/>
        </w:rPr>
        <w:t xml:space="preserve">      (2.1)</w:t>
      </w:r>
    </w:p>
    <w:p>
      <w:pPr>
        <w:spacing w:before="0" w:after="80" w:line="317" w:lineRule="auto"/>
        <w:ind w:firstLine="280"/>
      </w:pPr>
      <w:r>
        <w:rPr>
          <w:rFonts w:ascii="Times New Roman" w:hAnsi="Times New Roman" w:eastAsia="宋体"/>
          <w:b w:val="0"/>
          <w:i w:val="0"/>
          <w:color w:val="1A1A1A"/>
          <w:sz w:val="21"/>
        </w:rPr>
        <w:t xml:space="preserve">其中配分函数 </w:t>
      </w:r>
      <w:r>
        <w:rPr>
          <w:rFonts w:ascii="Consolas" w:hAnsi="Consolas" w:eastAsia="宋体"/>
          <w:b w:val="0"/>
          <w:i w:val="0"/>
          <w:color w:val="1A1A1A"/>
          <w:sz w:val="21"/>
        </w:rPr>
        <w:t>Z = Σₛ e^(−E(s)/kT)</w:t>
      </w:r>
      <w:r>
        <w:rPr>
          <w:rFonts w:ascii="Times New Roman" w:hAnsi="Times New Roman" w:eastAsia="宋体"/>
          <w:b w:val="0"/>
          <w:i w:val="0"/>
          <w:color w:val="1A1A1A"/>
          <w:sz w:val="21"/>
        </w:rPr>
        <w:t xml:space="preserve">。耦合 </w:t>
      </w:r>
      <w:r>
        <w:rPr>
          <w:rFonts w:ascii="Times New Roman" w:hAnsi="Times New Roman" w:eastAsia="宋体"/>
          <w:b w:val="0"/>
          <w:i/>
          <w:color w:val="1A1A1A"/>
          <w:sz w:val="21"/>
        </w:rPr>
        <w:t>Jᵢⱼ</w:t>
      </w:r>
      <w:r>
        <w:rPr>
          <w:rFonts w:ascii="Times New Roman" w:hAnsi="Times New Roman" w:eastAsia="宋体"/>
          <w:b w:val="0"/>
          <w:i w:val="0"/>
          <w:color w:val="1A1A1A"/>
          <w:sz w:val="21"/>
        </w:rPr>
        <w:t xml:space="preserve"> 即待反演的互作网络：</w:t>
      </w:r>
      <w:r>
        <w:rPr>
          <w:rFonts w:ascii="Consolas" w:hAnsi="Consolas" w:eastAsia="宋体"/>
          <w:b w:val="0"/>
          <w:i w:val="0"/>
          <w:color w:val="1A1A1A"/>
          <w:sz w:val="21"/>
        </w:rPr>
        <w:t>Jᵢⱼ &gt; 0</w:t>
      </w:r>
      <w:r>
        <w:rPr>
          <w:rFonts w:ascii="Times New Roman" w:hAnsi="Times New Roman" w:eastAsia="宋体"/>
          <w:b w:val="0"/>
          <w:i w:val="0"/>
          <w:color w:val="1A1A1A"/>
          <w:sz w:val="21"/>
        </w:rPr>
        <w:t xml:space="preserve"> 倾向同高同低（共存/互利），</w:t>
      </w:r>
      <w:r>
        <w:rPr>
          <w:rFonts w:ascii="Consolas" w:hAnsi="Consolas" w:eastAsia="宋体"/>
          <w:b w:val="0"/>
          <w:i w:val="0"/>
          <w:color w:val="1A1A1A"/>
          <w:sz w:val="21"/>
        </w:rPr>
        <w:t>Jᵢⱼ &lt; 0</w:t>
      </w:r>
      <w:r>
        <w:rPr>
          <w:rFonts w:ascii="Times New Roman" w:hAnsi="Times New Roman" w:eastAsia="宋体"/>
          <w:b w:val="0"/>
          <w:i w:val="0"/>
          <w:color w:val="1A1A1A"/>
          <w:sz w:val="21"/>
        </w:rPr>
        <w:t xml:space="preserve"> 倾向此高彼低（排斥/抑制）；场 </w:t>
      </w:r>
      <w:r>
        <w:rPr>
          <w:rFonts w:ascii="Times New Roman" w:hAnsi="Times New Roman" w:eastAsia="宋体"/>
          <w:b w:val="0"/>
          <w:i/>
          <w:color w:val="1A1A1A"/>
          <w:sz w:val="21"/>
        </w:rPr>
        <w:t>hᵢ</w:t>
      </w:r>
      <w:r>
        <w:rPr>
          <w:rFonts w:ascii="Times New Roman" w:hAnsi="Times New Roman" w:eastAsia="宋体"/>
          <w:b w:val="0"/>
          <w:i w:val="0"/>
          <w:color w:val="1A1A1A"/>
          <w:sz w:val="21"/>
        </w:rPr>
        <w:t xml:space="preserve"> 表征物种的内在丰度倾向（生态位适配）。这与 scQuantaVita 对单细胞采用的能量函数同构。</w:t>
      </w:r>
    </w:p>
    <w:p>
      <w:pPr>
        <w:spacing w:before="160" w:after="60"/>
      </w:pPr>
      <w:r>
        <w:rPr>
          <w:rFonts w:ascii="Times New Roman" w:hAnsi="Times New Roman" w:eastAsia="黑体"/>
          <w:b/>
          <w:color w:val="1A1A1A"/>
          <w:sz w:val="23"/>
        </w:rPr>
        <w:t>2.2  直接耦合 = 条件独立：接触/非接触的严格判据</w:t>
      </w:r>
    </w:p>
    <w:p>
      <w:pPr>
        <w:spacing w:before="0" w:after="80" w:line="317" w:lineRule="auto"/>
        <w:ind w:firstLine="280"/>
      </w:pPr>
      <w:r>
        <w:rPr>
          <w:rFonts w:ascii="Times New Roman" w:hAnsi="Times New Roman" w:eastAsia="宋体"/>
          <w:b w:val="0"/>
          <w:i w:val="0"/>
          <w:color w:val="1A1A1A"/>
          <w:sz w:val="21"/>
        </w:rPr>
        <w:t>上述模型是一个 Ising 型马尔可夫随机场。其关键性质是：</w:t>
      </w:r>
      <w:r>
        <w:rPr>
          <w:rFonts w:ascii="Times New Roman" w:hAnsi="Times New Roman" w:eastAsia="宋体"/>
          <w:b/>
          <w:i w:val="0"/>
          <w:color w:val="1A1A1A"/>
          <w:sz w:val="21"/>
        </w:rPr>
        <w:t>Jᵢⱼ = 0 当且仅当 sᵢ 与 sⱼ 在给定其余所有变量时条件独立</w:t>
      </w:r>
      <w:r>
        <w:rPr>
          <w:rFonts w:ascii="Times New Roman" w:hAnsi="Times New Roman" w:eastAsia="宋体"/>
          <w:b w:val="0"/>
          <w:i w:val="0"/>
          <w:color w:val="1A1A1A"/>
          <w:sz w:val="21"/>
        </w:rPr>
        <w:t>。因此直接耦合 J 对应的是</w:t>
      </w:r>
      <w:r>
        <w:rPr>
          <w:rFonts w:ascii="Times New Roman" w:hAnsi="Times New Roman" w:eastAsia="宋体"/>
          <w:b w:val="0"/>
          <w:i/>
          <w:color w:val="1A1A1A"/>
          <w:sz w:val="21"/>
        </w:rPr>
        <w:t>偏相关（partial correlation）</w:t>
      </w:r>
      <w:r>
        <w:rPr>
          <w:rFonts w:ascii="Times New Roman" w:hAnsi="Times New Roman" w:eastAsia="宋体"/>
          <w:b w:val="0"/>
          <w:i w:val="0"/>
          <w:color w:val="1A1A1A"/>
          <w:sz w:val="21"/>
        </w:rPr>
        <w:t>而非表观相关，与微生物生态学中 SPIEC‑EASI（稀疏逆协方差）及蛋白共进化中的直接耦合分析（DCA）同源。据此可给出严格判据：</w:t>
      </w:r>
    </w:p>
    <w:p>
      <w:pPr>
        <w:pStyle w:val="ListBullet"/>
        <w:spacing w:after="40" w:line="307" w:lineRule="auto"/>
        <w:ind w:left="360"/>
      </w:pPr>
      <w:r>
        <w:rPr>
          <w:rFonts w:ascii="Times New Roman" w:hAnsi="Times New Roman" w:eastAsia="宋体"/>
          <w:b/>
          <w:i w:val="0"/>
          <w:color w:val="1A1A1A"/>
          <w:sz w:val="21"/>
        </w:rPr>
        <w:t>接触（直接）效应：</w:t>
      </w:r>
      <w:r>
        <w:rPr>
          <w:rFonts w:ascii="Times New Roman" w:hAnsi="Times New Roman" w:eastAsia="宋体"/>
          <w:b w:val="0"/>
          <w:i w:val="0"/>
          <w:color w:val="1A1A1A"/>
          <w:sz w:val="21"/>
        </w:rPr>
        <w:t>将代谢物节点一并纳入模型后，J[X, LAB] 仍显著为负 ⇒ X 对 LAB 的抑制不经由已测代谢物（细胞接触、资源竞争、直接分泌未被测得的因子）。</w:t>
      </w:r>
    </w:p>
    <w:p>
      <w:pPr>
        <w:pStyle w:val="ListBullet"/>
        <w:spacing w:after="40" w:line="307" w:lineRule="auto"/>
        <w:ind w:left="360"/>
      </w:pPr>
      <w:r>
        <w:rPr>
          <w:rFonts w:ascii="Times New Roman" w:hAnsi="Times New Roman" w:eastAsia="宋体"/>
          <w:b/>
          <w:i w:val="0"/>
          <w:color w:val="1A1A1A"/>
          <w:sz w:val="21"/>
        </w:rPr>
        <w:t>非接触（介导）效应：</w:t>
      </w:r>
      <w:r>
        <w:rPr>
          <w:rFonts w:ascii="Times New Roman" w:hAnsi="Times New Roman" w:eastAsia="宋体"/>
          <w:b w:val="0"/>
          <w:i w:val="0"/>
          <w:color w:val="1A1A1A"/>
          <w:sz w:val="21"/>
        </w:rPr>
        <w:t>J[X, LAB] ≈ 0，但存在 J[X, M] &gt; 0 且 J[M, LAB] &lt; 0 ⇒ X 经代谢物 M 间接压制 LAB。</w:t>
      </w:r>
    </w:p>
    <w:p>
      <w:pPr>
        <w:spacing w:before="0" w:after="80" w:line="317" w:lineRule="auto"/>
        <w:ind w:firstLine="280"/>
      </w:pPr>
      <w:r>
        <w:rPr>
          <w:rFonts w:ascii="Times New Roman" w:hAnsi="Times New Roman" w:eastAsia="宋体"/>
          <w:b w:val="0"/>
          <w:i w:val="0"/>
          <w:color w:val="1A1A1A"/>
          <w:sz w:val="21"/>
        </w:rPr>
        <w:t>此判据是</w:t>
      </w:r>
      <w:r>
        <w:rPr>
          <w:rFonts w:ascii="Times New Roman" w:hAnsi="Times New Roman" w:eastAsia="宋体"/>
          <w:b/>
          <w:i w:val="0"/>
          <w:color w:val="1A1A1A"/>
          <w:sz w:val="21"/>
        </w:rPr>
        <w:t>结构性</w:t>
      </w:r>
      <w:r>
        <w:rPr>
          <w:rFonts w:ascii="Times New Roman" w:hAnsi="Times New Roman" w:eastAsia="宋体"/>
          <w:b w:val="0"/>
          <w:i w:val="0"/>
          <w:color w:val="1A1A1A"/>
          <w:sz w:val="21"/>
        </w:rPr>
        <w:t>的：只有在同时纳入菌与代谢物节点的全连接模型中做直接耦合分离，接触/非接触才可判定。平均场或强稀疏近似会抹平弱而关键的中介路径，从而失效——这是量子（可训练全连接玻尔兹曼机）不可替代的根本原因。</w:t>
      </w:r>
    </w:p>
    <w:p>
      <w:pPr>
        <w:spacing w:before="160" w:after="60"/>
      </w:pPr>
      <w:r>
        <w:rPr>
          <w:rFonts w:ascii="Times New Roman" w:hAnsi="Times New Roman" w:eastAsia="黑体"/>
          <w:b/>
          <w:color w:val="1A1A1A"/>
          <w:sz w:val="23"/>
        </w:rPr>
        <w:t>2.3  最大似然与负相期望</w:t>
      </w:r>
    </w:p>
    <w:p>
      <w:pPr>
        <w:spacing w:before="0" w:after="80" w:line="317" w:lineRule="auto"/>
        <w:ind w:firstLine="280"/>
      </w:pPr>
      <w:r>
        <w:rPr>
          <w:rFonts w:ascii="Times New Roman" w:hAnsi="Times New Roman" w:eastAsia="宋体"/>
          <w:b w:val="0"/>
          <w:i w:val="0"/>
          <w:color w:val="1A1A1A"/>
          <w:sz w:val="21"/>
        </w:rPr>
        <w:t>给定 N 个样本，全可见玻尔兹曼机的对数似然对参数的梯度为经典结果：</w:t>
      </w:r>
    </w:p>
    <w:p>
      <w:pPr>
        <w:spacing w:before="120" w:after="120"/>
        <w:jc w:val="center"/>
      </w:pPr>
      <w:r>
        <w:rPr>
          <w:rFonts w:ascii="Times New Roman" w:hAnsi="Times New Roman" w:eastAsia="宋体"/>
          <w:i/>
          <w:sz w:val="22"/>
        </w:rPr>
        <w:t>∂ℓ/∂Jᵢⱼ = ⟨sᵢsⱼ⟩_data − ⟨sᵢsⱼ⟩_model ,   ∂ℓ/∂hᵢ = ⟨sᵢ⟩_data − ⟨sᵢ⟩_model</w:t>
      </w:r>
      <w:r>
        <w:rPr>
          <w:i w:val="0"/>
          <w:color w:val="555555"/>
          <w:sz w:val="20"/>
        </w:rPr>
        <w:t xml:space="preserve">      (2.2)</w:t>
      </w:r>
    </w:p>
    <w:p>
      <w:pPr>
        <w:spacing w:before="0" w:after="80" w:line="317" w:lineRule="auto"/>
        <w:ind w:firstLine="280"/>
      </w:pPr>
      <w:r>
        <w:rPr>
          <w:rFonts w:ascii="Times New Roman" w:hAnsi="Times New Roman" w:eastAsia="宋体"/>
          <w:b w:val="0"/>
          <w:i w:val="0"/>
          <w:color w:val="1A1A1A"/>
          <w:sz w:val="21"/>
        </w:rPr>
        <w:t>数据相 ⟨·⟩_data 由样本一次算得；</w:t>
      </w:r>
      <w:r>
        <w:rPr>
          <w:rFonts w:ascii="Times New Roman" w:hAnsi="Times New Roman" w:eastAsia="宋体"/>
          <w:b/>
          <w:i w:val="0"/>
          <w:color w:val="1A1A1A"/>
          <w:sz w:val="21"/>
        </w:rPr>
        <w:t>难点在模型相（负相）⟨·⟩_model</w:t>
      </w:r>
      <w:r>
        <w:rPr>
          <w:rFonts w:ascii="Times New Roman" w:hAnsi="Times New Roman" w:eastAsia="宋体"/>
          <w:b w:val="0"/>
          <w:i w:val="0"/>
          <w:color w:val="1A1A1A"/>
          <w:sz w:val="21"/>
        </w:rPr>
        <w:t>——它是对 p(s) ∝ e^(−E) 求期望，涉及配分函数 Z。这一步的计算复杂度，正是量子优势的所在。</w:t>
      </w:r>
    </w:p>
    <w:p>
      <w:pPr>
        <w:spacing w:before="280" w:after="100"/>
      </w:pPr>
      <w:r>
        <w:rPr>
          <w:rFonts w:ascii="Times New Roman" w:hAnsi="Times New Roman" w:eastAsia="黑体"/>
          <w:b/>
          <w:color w:val="243B8F"/>
          <w:sz w:val="28"/>
        </w:rPr>
        <w:t>3  计算复杂性与量子优势</w:t>
      </w:r>
    </w:p>
    <w:p>
      <w:pPr>
        <w:spacing w:before="160" w:after="60"/>
      </w:pPr>
      <w:r>
        <w:rPr>
          <w:rFonts w:ascii="Times New Roman" w:hAnsi="Times New Roman" w:eastAsia="黑体"/>
          <w:b/>
          <w:color w:val="1A1A1A"/>
          <w:sz w:val="23"/>
        </w:rPr>
        <w:t>3.1  配分函数与计算难度</w:t>
      </w:r>
    </w:p>
    <w:p>
      <w:pPr>
        <w:spacing w:before="0" w:after="80" w:line="317" w:lineRule="auto"/>
        <w:ind w:firstLine="280"/>
      </w:pPr>
      <w:r>
        <w:rPr>
          <w:rFonts w:ascii="Times New Roman" w:hAnsi="Times New Roman" w:eastAsia="宋体"/>
          <w:b w:val="0"/>
          <w:i w:val="0"/>
          <w:color w:val="1A1A1A"/>
          <w:sz w:val="21"/>
        </w:rPr>
        <w:t>配分函数 Z 对 N 个自旋求和的项数为 2ᴺ，随节点数指数增长。一般（非平面）Ising 模型的</w:t>
      </w:r>
      <w:r>
        <w:rPr>
          <w:rFonts w:ascii="Times New Roman" w:hAnsi="Times New Roman" w:eastAsia="宋体"/>
          <w:b/>
          <w:i w:val="0"/>
          <w:color w:val="1A1A1A"/>
          <w:sz w:val="21"/>
        </w:rPr>
        <w:t>基态求解是 NP‑难（Barahona, 1982）</w:t>
      </w:r>
      <w:r>
        <w:rPr>
          <w:rFonts w:ascii="Times New Roman" w:hAnsi="Times New Roman" w:eastAsia="宋体"/>
          <w:b w:val="0"/>
          <w:i w:val="0"/>
          <w:color w:val="1A1A1A"/>
          <w:sz w:val="21"/>
        </w:rPr>
        <w:t>，配分函数的精确计算是 #P‑难。因此负相期望 ⟨sᵢsⱼ⟩_model 无法精确高效计算，只能近似。</w:t>
      </w:r>
    </w:p>
    <w:p>
      <w:pPr>
        <w:spacing w:before="160" w:after="60"/>
      </w:pPr>
      <w:r>
        <w:rPr>
          <w:rFonts w:ascii="Times New Roman" w:hAnsi="Times New Roman" w:eastAsia="黑体"/>
          <w:b/>
          <w:color w:val="1A1A1A"/>
          <w:sz w:val="23"/>
        </w:rPr>
        <w:t>3.2  阻挫与经典采样的失效</w:t>
      </w:r>
    </w:p>
    <w:p>
      <w:pPr>
        <w:spacing w:before="0" w:after="80" w:line="317" w:lineRule="auto"/>
        <w:ind w:firstLine="280"/>
      </w:pPr>
      <w:r>
        <w:rPr>
          <w:rFonts w:ascii="Times New Roman" w:hAnsi="Times New Roman" w:eastAsia="宋体"/>
          <w:b w:val="0"/>
          <w:i w:val="0"/>
          <w:color w:val="1A1A1A"/>
          <w:sz w:val="21"/>
        </w:rPr>
        <w:t>真实微生物互作网</w:t>
      </w:r>
      <w:r>
        <w:rPr>
          <w:rFonts w:ascii="Times New Roman" w:hAnsi="Times New Roman" w:eastAsia="宋体"/>
          <w:b/>
          <w:i w:val="0"/>
          <w:color w:val="1A1A1A"/>
          <w:sz w:val="21"/>
        </w:rPr>
        <w:t>稠密且含阻挫（frustration）</w:t>
      </w:r>
      <w:r>
        <w:rPr>
          <w:rFonts w:ascii="Times New Roman" w:hAnsi="Times New Roman" w:eastAsia="宋体"/>
          <w:b w:val="0"/>
          <w:i w:val="0"/>
          <w:color w:val="1A1A1A"/>
          <w:sz w:val="21"/>
        </w:rPr>
        <w:t>：竞争关系构成负耦合环，使能量面出现大量近简并的亚稳态。经典近似——吉布斯采样、对比散度（CD）、平均场——在此类能量面上</w:t>
      </w:r>
      <w:r>
        <w:rPr>
          <w:rFonts w:ascii="Times New Roman" w:hAnsi="Times New Roman" w:eastAsia="宋体"/>
          <w:b/>
          <w:i w:val="0"/>
          <w:color w:val="1A1A1A"/>
          <w:sz w:val="21"/>
        </w:rPr>
        <w:t>混合缓慢且系统性有偏</w:t>
      </w:r>
      <w:r>
        <w:rPr>
          <w:rFonts w:ascii="Times New Roman" w:hAnsi="Times New Roman" w:eastAsia="宋体"/>
          <w:b w:val="0"/>
          <w:i w:val="0"/>
          <w:color w:val="1A1A1A"/>
          <w:sz w:val="21"/>
        </w:rPr>
        <w:t>：链长时间困于局部盆地，负相估计失真，梯度被污染，学到的 J 因而不可靠。这恰恰破坏了 2.2 节接触/非接触判据所依赖的耦合精度。</w:t>
      </w:r>
    </w:p>
    <w:p>
      <w:pPr>
        <w:spacing w:before="160" w:after="60"/>
      </w:pPr>
      <w:r>
        <w:rPr>
          <w:rFonts w:ascii="Times New Roman" w:hAnsi="Times New Roman" w:eastAsia="黑体"/>
          <w:b/>
          <w:color w:val="1A1A1A"/>
          <w:sz w:val="23"/>
        </w:rPr>
        <w:t>3.3  相干伊辛机（CIM）的玻尔兹曼采样机制</w:t>
      </w:r>
    </w:p>
    <w:p>
      <w:pPr>
        <w:spacing w:before="0" w:after="80" w:line="317" w:lineRule="auto"/>
        <w:ind w:firstLine="280"/>
      </w:pPr>
      <w:r>
        <w:rPr>
          <w:rFonts w:ascii="Times New Roman" w:hAnsi="Times New Roman" w:eastAsia="宋体"/>
          <w:b w:val="0"/>
          <w:i w:val="0"/>
          <w:color w:val="1A1A1A"/>
          <w:sz w:val="21"/>
        </w:rPr>
        <w:t>CIM 以简并光参量振荡器（DOPO）网络的相位作为自旋，其稳态分布对应于 Ising 能量定义的玻尔兹曼分布。相较经典 MCMC，CIM 以硬件物理过程直接实现近热态采样，天然适配负相估计，并已demonstrated 大规模（10⁵ 自旋量级）自旋网络与长相干（Honjo et al., 2019；Yamamoto et al., 2020）。</w:t>
      </w:r>
    </w:p>
    <w:p>
      <w:pPr>
        <w:spacing w:before="160" w:after="60"/>
      </w:pPr>
      <w:r>
        <w:rPr>
          <w:rFonts w:ascii="Times New Roman" w:hAnsi="Times New Roman" w:eastAsia="黑体"/>
          <w:b/>
          <w:color w:val="1A1A1A"/>
          <w:sz w:val="23"/>
        </w:rPr>
        <w:t>3.4  量子优势的精确表述与实证</w:t>
      </w:r>
    </w:p>
    <w:p>
      <w:pPr>
        <w:spacing w:before="0" w:after="80" w:line="317" w:lineRule="auto"/>
        <w:ind w:firstLine="280"/>
      </w:pPr>
      <w:r>
        <w:rPr>
          <w:rFonts w:ascii="Times New Roman" w:hAnsi="Times New Roman" w:eastAsia="宋体"/>
          <w:b w:val="0"/>
          <w:i w:val="0"/>
          <w:color w:val="1A1A1A"/>
          <w:sz w:val="21"/>
        </w:rPr>
        <w:t>本方案主张的量子优势是</w:t>
      </w:r>
      <w:r>
        <w:rPr>
          <w:rFonts w:ascii="Times New Roman" w:hAnsi="Times New Roman" w:eastAsia="宋体"/>
          <w:b/>
          <w:i w:val="0"/>
          <w:color w:val="1A1A1A"/>
          <w:sz w:val="21"/>
        </w:rPr>
        <w:t>采样意义上的、经实证的加速与可训练性</w:t>
      </w:r>
      <w:r>
        <w:rPr>
          <w:rFonts w:ascii="Times New Roman" w:hAnsi="Times New Roman" w:eastAsia="宋体"/>
          <w:b w:val="0"/>
          <w:i w:val="0"/>
          <w:color w:val="1A1A1A"/>
          <w:sz w:val="21"/>
        </w:rPr>
        <w:t>，具体为：</w:t>
      </w:r>
    </w:p>
    <w:p>
      <w:pPr>
        <w:pStyle w:val="ListBullet"/>
        <w:spacing w:after="40" w:line="307" w:lineRule="auto"/>
        <w:ind w:left="360"/>
      </w:pPr>
      <w:r>
        <w:rPr>
          <w:rFonts w:ascii="Times New Roman" w:hAnsi="Times New Roman" w:eastAsia="宋体"/>
          <w:b/>
          <w:i w:val="0"/>
          <w:color w:val="1A1A1A"/>
          <w:sz w:val="21"/>
        </w:rPr>
        <w:t>采样可行性：</w:t>
      </w:r>
      <w:r>
        <w:rPr>
          <w:rFonts w:ascii="Times New Roman" w:hAnsi="Times New Roman" w:eastAsia="宋体"/>
          <w:b w:val="0"/>
          <w:i w:val="0"/>
          <w:color w:val="1A1A1A"/>
          <w:sz w:val="21"/>
        </w:rPr>
        <w:t>CIM 使全连接、社区规模（数十至千节点）的玻尔兹曼机负相采样在硬件上成为常数步操作，从而使真正全连接的互作模型第一次可训练——而非被迫退化为稀疏/平均场近似。</w:t>
      </w:r>
    </w:p>
    <w:p>
      <w:pPr>
        <w:pStyle w:val="ListBullet"/>
        <w:spacing w:after="40" w:line="307" w:lineRule="auto"/>
        <w:ind w:left="360"/>
      </w:pPr>
      <w:r>
        <w:rPr>
          <w:rFonts w:ascii="Times New Roman" w:hAnsi="Times New Roman" w:eastAsia="宋体"/>
          <w:b/>
          <w:i w:val="0"/>
          <w:color w:val="1A1A1A"/>
          <w:sz w:val="21"/>
        </w:rPr>
        <w:t>实证加速：</w:t>
      </w:r>
      <w:r>
        <w:rPr>
          <w:rFonts w:ascii="Times New Roman" w:hAnsi="Times New Roman" w:eastAsia="宋体"/>
          <w:b w:val="0"/>
          <w:i w:val="0"/>
          <w:color w:val="1A1A1A"/>
          <w:sz w:val="21"/>
        </w:rPr>
        <w:t>同源工作 scQuantaVita 在 38–1025 节点的玻尔兹曼机网络上验证了 CIM 输出满足 ln p(s) ∝ −E(s)/kT（确为玻尔兹曼采样），并相对经典 CIM 数值模拟在最大规模处取得 ≥10⁵ 倍采样加速，真机连续稳定运行 &gt;1 小时。</w:t>
      </w:r>
    </w:p>
    <w:p>
      <w:pPr>
        <w:pStyle w:val="ListBullet"/>
        <w:spacing w:after="40" w:line="307" w:lineRule="auto"/>
        <w:ind w:left="360"/>
      </w:pPr>
      <w:r>
        <w:rPr>
          <w:rFonts w:ascii="Times New Roman" w:hAnsi="Times New Roman" w:eastAsia="宋体"/>
          <w:b/>
          <w:i w:val="0"/>
          <w:color w:val="1A1A1A"/>
          <w:sz w:val="21"/>
        </w:rPr>
        <w:t>生物学增益：</w:t>
      </w:r>
      <w:r>
        <w:rPr>
          <w:rFonts w:ascii="Times New Roman" w:hAnsi="Times New Roman" w:eastAsia="宋体"/>
          <w:b w:val="0"/>
          <w:i w:val="0"/>
          <w:color w:val="1A1A1A"/>
          <w:sz w:val="21"/>
        </w:rPr>
        <w:t>能量约束的隐层表示在数据整合、批次校正与细胞/样本注释上达到 SOTA，说明该采样能力可转化为下游可用的表示质量。</w:t>
      </w:r>
    </w:p>
    <w:p>
      <w:pPr>
        <w:spacing w:before="160" w:after="60"/>
      </w:pPr>
      <w:r>
        <w:rPr>
          <w:rFonts w:ascii="Times New Roman" w:hAnsi="Times New Roman" w:eastAsia="黑体"/>
          <w:b/>
          <w:color w:val="1A1A1A"/>
          <w:sz w:val="23"/>
        </w:rPr>
        <w:t>3.5  严谨的边界：本方案主张什么、不主张什么</w:t>
      </w:r>
    </w:p>
    <w:p>
      <w:pPr>
        <w:spacing w:before="0" w:after="80" w:line="317" w:lineRule="auto"/>
        <w:ind w:firstLine="280"/>
      </w:pPr>
      <w:r>
        <w:rPr>
          <w:rFonts w:ascii="Times New Roman" w:hAnsi="Times New Roman" w:eastAsia="宋体"/>
          <w:b/>
          <w:i w:val="0"/>
          <w:color w:val="1A1A1A"/>
          <w:sz w:val="21"/>
        </w:rPr>
        <w:t>为保证科学严谨，明确界定：</w:t>
      </w:r>
    </w:p>
    <w:p>
      <w:pPr>
        <w:pStyle w:val="ListBullet"/>
        <w:spacing w:after="40" w:line="307" w:lineRule="auto"/>
        <w:ind w:left="360"/>
      </w:pPr>
      <w:r>
        <w:rPr>
          <w:rFonts w:ascii="Times New Roman" w:hAnsi="Times New Roman" w:eastAsia="宋体"/>
          <w:b/>
          <w:i w:val="0"/>
          <w:color w:val="9B2C2C"/>
          <w:sz w:val="21"/>
        </w:rPr>
        <w:t>不主张</w:t>
      </w:r>
      <w:r>
        <w:rPr>
          <w:rFonts w:ascii="Times New Roman" w:hAnsi="Times New Roman" w:eastAsia="宋体"/>
          <w:b w:val="0"/>
          <w:i w:val="0"/>
          <w:color w:val="1A1A1A"/>
          <w:sz w:val="21"/>
        </w:rPr>
        <w:t>已被证明的渐近量子加速（对一般采样问题尚无此类严格分离定理）。所述优势是在给定规模、相对特定经典模拟器实测的加速与可行性，属经验性与物理实现性优势。</w:t>
      </w:r>
    </w:p>
    <w:p>
      <w:pPr>
        <w:pStyle w:val="ListBullet"/>
        <w:spacing w:after="40" w:line="307" w:lineRule="auto"/>
        <w:ind w:left="360"/>
      </w:pPr>
      <w:r>
        <w:rPr>
          <w:rFonts w:ascii="Times New Roman" w:hAnsi="Times New Roman" w:eastAsia="宋体"/>
          <w:b/>
          <w:i w:val="0"/>
          <w:color w:val="9B2C2C"/>
          <w:sz w:val="21"/>
        </w:rPr>
        <w:t>承认</w:t>
      </w:r>
      <w:r>
        <w:rPr>
          <w:rFonts w:ascii="Times New Roman" w:hAnsi="Times New Roman" w:eastAsia="宋体"/>
          <w:b w:val="0"/>
          <w:i w:val="0"/>
          <w:color w:val="1A1A1A"/>
          <w:sz w:val="21"/>
        </w:rPr>
        <w:t>CIM 输出为近似（而非严格）热态：需以 e^(−E) 重要性重加权/标定校正负相偏置；重要性重加权后 ⟨sᵢsⱼ⟩ 的估计误差约 0.03（相对精确期望），据此量化并控制该偏差。</w:t>
      </w:r>
    </w:p>
    <w:p>
      <w:pPr>
        <w:pStyle w:val="ListBullet"/>
        <w:spacing w:after="40" w:line="307" w:lineRule="auto"/>
        <w:ind w:left="360"/>
      </w:pPr>
      <w:r>
        <w:rPr>
          <w:rFonts w:ascii="Times New Roman" w:hAnsi="Times New Roman" w:eastAsia="宋体"/>
          <w:b/>
          <w:i w:val="0"/>
          <w:color w:val="1A1A1A"/>
          <w:sz w:val="21"/>
        </w:rPr>
        <w:t>因此定位：</w:t>
      </w:r>
      <w:r>
        <w:rPr>
          <w:rFonts w:ascii="Times New Roman" w:hAnsi="Times New Roman" w:eastAsia="宋体"/>
          <w:b w:val="0"/>
          <w:i w:val="0"/>
          <w:color w:val="1A1A1A"/>
          <w:sz w:val="21"/>
        </w:rPr>
        <w:t>量子承担经典方法系统性不足的最难子问题（全连接互作反演与接触/非接触判定），并作为经典相关分析结论的独立交叉验证，而非替代成熟的经典多组学流程。</w:t>
      </w:r>
    </w:p>
    <w:p>
      <w:pPr>
        <w:spacing w:before="280" w:after="100"/>
      </w:pPr>
      <w:r>
        <w:rPr>
          <w:rFonts w:ascii="Times New Roman" w:hAnsi="Times New Roman" w:eastAsia="黑体"/>
          <w:b/>
          <w:color w:val="243B8F"/>
          <w:sz w:val="28"/>
        </w:rPr>
        <w:t>4  技术方案：三阶段量子‑经典混合框架</w:t>
      </w:r>
    </w:p>
    <w:p>
      <w:pPr>
        <w:spacing w:before="160" w:after="60"/>
      </w:pPr>
      <w:r>
        <w:rPr>
          <w:rFonts w:ascii="Times New Roman" w:hAnsi="Times New Roman" w:eastAsia="黑体"/>
          <w:b/>
          <w:color w:val="1A1A1A"/>
          <w:sz w:val="23"/>
        </w:rPr>
        <w:t>4.1  阶段①　QVAE / 玻尔兹曼态编码（降维与关键菌群抽取）</w:t>
      </w:r>
    </w:p>
    <w:p>
      <w:pPr>
        <w:spacing w:before="0" w:after="80" w:line="317" w:lineRule="auto"/>
        <w:ind w:firstLine="280"/>
      </w:pPr>
      <w:r>
        <w:rPr>
          <w:rFonts w:ascii="Times New Roman" w:hAnsi="Times New Roman" w:eastAsia="宋体"/>
          <w:b w:val="0"/>
          <w:i w:val="0"/>
          <w:color w:val="1A1A1A"/>
          <w:sz w:val="21"/>
        </w:rPr>
        <w:t>输入为每样本的高维向量（宏基因组物种相对丰度经 CLR 变换 ⊕ 代谢组强度经 log/scale）。采用离散变分自编码器（DVAE）：编码器经 spike‑and‑exponential 变换将连续输入映射为二值隐层 z ∈ {0,1}ᴰ，straight‑through 估计器保证梯度可回传；隐层先验由受限玻尔兹曼机（RBM）建模，其负相由 CIM 采样。产出：（i）关键微生物/代谢物——按“丰度随发酵阶段能量面(CSP)迁移最相关”并入“与关键乳酸菌 LAB 直接关联”两条判据筛出（≥10 菌、≥100 代谢物），并排除纯噪声特征；（ii）每样本的群落系统势 CSP（见 4.4）。本阶段工程实现为团队 DVAE_RBM（可处理连续/稀疏/含批次组学）。</w:t>
      </w:r>
    </w:p>
    <w:p>
      <w:pPr>
        <w:spacing w:before="0" w:after="80" w:line="317" w:lineRule="auto"/>
        <w:ind w:firstLine="280"/>
      </w:pPr>
      <w:r>
        <w:rPr>
          <w:rFonts w:ascii="Times New Roman" w:hAnsi="Times New Roman" w:eastAsia="宋体"/>
          <w:b w:val="0"/>
          <w:i/>
          <w:color w:val="555555"/>
          <w:sz w:val="21"/>
        </w:rPr>
        <w:t>工程基座：该阶段对应团队现有的 DVAE_RBM 实现（PyTorch，anndata/稀疏输入，CIM 负相采样），可直接处理连续、稀疏、含批次的组学数据，优于仅接受二值输入的通用实现。</w:t>
      </w:r>
    </w:p>
    <w:p>
      <w:pPr>
        <w:spacing w:before="160" w:after="60"/>
      </w:pPr>
      <w:r>
        <w:rPr>
          <w:rFonts w:ascii="Times New Roman" w:hAnsi="Times New Roman" w:eastAsia="黑体"/>
          <w:b/>
          <w:color w:val="1A1A1A"/>
          <w:sz w:val="23"/>
        </w:rPr>
        <w:t>4.2  阶段②　玻尔兹曼机互作层（CIM 负相采样反演 J）</w:t>
      </w:r>
    </w:p>
    <w:p>
      <w:pPr>
        <w:spacing w:before="0" w:after="80" w:line="317" w:lineRule="auto"/>
        <w:ind w:firstLine="280"/>
      </w:pPr>
      <w:r>
        <w:rPr>
          <w:rFonts w:ascii="Times New Roman" w:hAnsi="Times New Roman" w:eastAsia="宋体"/>
          <w:b w:val="0"/>
          <w:i w:val="0"/>
          <w:color w:val="1A1A1A"/>
          <w:sz w:val="21"/>
        </w:rPr>
        <w:t>在阶段①抽出的关键节点（菌 + 代谢物）上训练全可见玻尔兹曼机：由数据算 ⟨sᵢ⟩、⟨sᵢsⱼ⟩（一次）；负相 ⟨·⟩_model 由开物 Kaiwu 采样估计——将当前 {βh, βJ} 编码为 QUBO，经 kw.conversion.qubo_matrix_to_ising_matrix 转伊辛矩阵，用经典 SimulatedAnnealingOptimizer（离线）或 CIMOptimizer（真机）取一批构型并以 e^(−E) 重要性重加权得期望；按式 (2.2) 梯度上升更新 {J, h} 至收敛。产出的 J 即带符号互作网络，其乳酸菌行/列即「抑制 LAB 的菌与代谢物及强度」。</w:t>
      </w:r>
    </w:p>
    <w:p>
      <w:pPr>
        <w:spacing w:before="0" w:after="80" w:line="317" w:lineRule="auto"/>
        <w:ind w:firstLine="280"/>
      </w:pPr>
      <w:r>
        <w:rPr>
          <w:rFonts w:ascii="Times New Roman" w:hAnsi="Times New Roman" w:eastAsia="宋体"/>
          <w:b w:val="0"/>
          <w:i/>
          <w:color w:val="555555"/>
          <w:sz w:val="21"/>
        </w:rPr>
        <w:t>说明：阶段①的 RBM 是可见‑隐层二部结构（用于隐层先验），阶段②的玻尔兹曼机是可见‑可见结构（用于互作反演），二者互补且共用同一 CIM 采样内核。</w:t>
      </w:r>
    </w:p>
    <w:p>
      <w:pPr>
        <w:spacing w:before="160" w:after="60"/>
      </w:pPr>
      <w:r>
        <w:rPr>
          <w:rFonts w:ascii="Times New Roman" w:hAnsi="Times New Roman" w:eastAsia="黑体"/>
          <w:b/>
          <w:color w:val="1A1A1A"/>
          <w:sz w:val="23"/>
        </w:rPr>
        <w:t>4.3  阶段③　反事实敲除与贡献度量化</w:t>
      </w:r>
    </w:p>
    <w:p>
      <w:pPr>
        <w:spacing w:before="0" w:after="80" w:line="317" w:lineRule="auto"/>
        <w:ind w:firstLine="280"/>
      </w:pPr>
      <w:r>
        <w:rPr>
          <w:rFonts w:ascii="Times New Roman" w:hAnsi="Times New Roman" w:eastAsia="宋体"/>
          <w:b w:val="0"/>
          <w:i w:val="0"/>
          <w:color w:val="1A1A1A"/>
          <w:sz w:val="21"/>
        </w:rPr>
        <w:t>用训练好的能量模型做 in‑silico 敲除：将某菌节点钳制为「缺失」（sₓ = −1），用 CIM 重采样，测关键乳酸菌「高丰度」边缘概率 P(LAB=high) 的变化 ΔPₓ。各通路 ΔP 归一即得</w:t>
      </w:r>
      <w:r>
        <w:rPr>
          <w:rFonts w:ascii="Times New Roman" w:hAnsi="Times New Roman" w:eastAsia="宋体"/>
          <w:b/>
          <w:i w:val="0"/>
          <w:color w:val="1A1A1A"/>
          <w:sz w:val="21"/>
        </w:rPr>
        <w:t>各互作通路对乳酸菌丰度的相对贡献度</w:t>
      </w:r>
      <w:r>
        <w:rPr>
          <w:rFonts w:ascii="Times New Roman" w:hAnsi="Times New Roman" w:eastAsia="宋体"/>
          <w:b w:val="0"/>
          <w:i w:val="0"/>
          <w:color w:val="1A1A1A"/>
          <w:sz w:val="21"/>
        </w:rPr>
        <w:t>；按贡献排序取累计 ≥60% 的菌集合，即待湿实验验证的关键菌。</w:t>
      </w:r>
    </w:p>
    <w:p>
      <w:pPr>
        <w:spacing w:before="160" w:after="60"/>
      </w:pPr>
      <w:r>
        <w:rPr>
          <w:rFonts w:ascii="Times New Roman" w:hAnsi="Times New Roman" w:eastAsia="黑体"/>
          <w:b/>
          <w:color w:val="1A1A1A"/>
          <w:sz w:val="23"/>
        </w:rPr>
        <w:t>4.4  群落系统势 CSP（Community System Potential）</w:t>
      </w:r>
    </w:p>
    <w:p>
      <w:pPr>
        <w:spacing w:before="0" w:after="80" w:line="317" w:lineRule="auto"/>
        <w:ind w:firstLine="280"/>
      </w:pPr>
      <w:r>
        <w:rPr>
          <w:rFonts w:ascii="Times New Roman" w:hAnsi="Times New Roman" w:eastAsia="宋体"/>
          <w:b w:val="0"/>
          <w:i w:val="0"/>
          <w:color w:val="1A1A1A"/>
          <w:sz w:val="21"/>
        </w:rPr>
        <w:t>将每个样本隐态在能量模型下的能量 E(s) 定义为该群落的系统势 CSP，量化其热力学稳定度：低 CSP = 相干稳定群落（多数互作被满足），高 CSP = 竞争/受挫的过渡态。此为 scQuantaVita 的细胞系统势在群落语境下的原创扩展，可刻画大曲来源微生物在制酒过程中的动态演替方向（堆积→出窖趋稳）。</w:t>
      </w:r>
    </w:p>
    <w:p>
      <w:pPr>
        <w:spacing w:before="280" w:after="100"/>
      </w:pPr>
      <w:r>
        <w:rPr>
          <w:rFonts w:ascii="Times New Roman" w:hAnsi="Times New Roman" w:eastAsia="黑体"/>
          <w:b/>
          <w:color w:val="243B8F"/>
          <w:sz w:val="28"/>
        </w:rPr>
        <w:t>5  判据体系：从 J 结构读出生物学结论</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19"/>
              </w:rPr>
              <w:t>生物学问法</w:t>
            </w:r>
          </w:p>
        </w:tc>
        <w:tc>
          <w:tcPr>
            <w:tcW w:type="dxa" w:w="2880"/>
          </w:tcPr>
          <w:p>
            <w:r>
              <w:rPr>
                <w:rFonts w:ascii="Times New Roman" w:hAnsi="Times New Roman" w:eastAsia="黑体"/>
                <w:b/>
                <w:sz w:val="19"/>
              </w:rPr>
              <w:t>模型读出（J 结构）</w:t>
            </w:r>
          </w:p>
        </w:tc>
        <w:tc>
          <w:tcPr>
            <w:tcW w:type="dxa" w:w="2880"/>
          </w:tcPr>
          <w:p>
            <w:r>
              <w:rPr>
                <w:rFonts w:ascii="Times New Roman" w:hAnsi="Times New Roman" w:eastAsia="黑体"/>
                <w:b/>
                <w:sz w:val="19"/>
              </w:rPr>
              <w:t>机制说明</w:t>
            </w:r>
          </w:p>
        </w:tc>
      </w:tr>
      <w:tr>
        <w:tc>
          <w:tcPr>
            <w:tcW w:type="dxa" w:w="2880"/>
          </w:tcPr>
          <w:p>
            <w:r>
              <w:rPr>
                <w:rFonts w:ascii="Times New Roman" w:hAnsi="Times New Roman" w:eastAsia="宋体"/>
                <w:sz w:val="19"/>
              </w:rPr>
              <w:t>接触（直接）</w:t>
            </w:r>
          </w:p>
        </w:tc>
        <w:tc>
          <w:tcPr>
            <w:tcW w:type="dxa" w:w="2880"/>
          </w:tcPr>
          <w:p>
            <w:r>
              <w:rPr>
                <w:rFonts w:ascii="Consolas" w:hAnsi="Consolas" w:eastAsia="Consolas"/>
                <w:sz w:val="18"/>
              </w:rPr>
              <w:t>纳入代谢物后 J[X,LAB] &lt; 0 仍显著</w:t>
            </w:r>
          </w:p>
        </w:tc>
        <w:tc>
          <w:tcPr>
            <w:tcW w:type="dxa" w:w="2880"/>
          </w:tcPr>
          <w:p>
            <w:r>
              <w:rPr>
                <w:rFonts w:ascii="Times New Roman" w:hAnsi="Times New Roman" w:eastAsia="宋体"/>
                <w:sz w:val="19"/>
              </w:rPr>
              <w:t>抑制不经已测代谢物：接触/竞争/直接分泌</w:t>
            </w:r>
          </w:p>
        </w:tc>
      </w:tr>
      <w:tr>
        <w:tc>
          <w:tcPr>
            <w:tcW w:type="dxa" w:w="2880"/>
          </w:tcPr>
          <w:p>
            <w:r>
              <w:rPr>
                <w:rFonts w:ascii="Times New Roman" w:hAnsi="Times New Roman" w:eastAsia="宋体"/>
                <w:sz w:val="19"/>
              </w:rPr>
              <w:t>非接触（介导）</w:t>
            </w:r>
          </w:p>
        </w:tc>
        <w:tc>
          <w:tcPr>
            <w:tcW w:type="dxa" w:w="2880"/>
          </w:tcPr>
          <w:p>
            <w:r>
              <w:rPr>
                <w:rFonts w:ascii="Consolas" w:hAnsi="Consolas" w:eastAsia="Consolas"/>
                <w:sz w:val="18"/>
              </w:rPr>
              <w:t>J[X,LAB]≈0，且 J[X,M]&gt;0、J[M,LAB]&lt;0</w:t>
            </w:r>
          </w:p>
        </w:tc>
        <w:tc>
          <w:tcPr>
            <w:tcW w:type="dxa" w:w="2880"/>
          </w:tcPr>
          <w:p>
            <w:r>
              <w:rPr>
                <w:rFonts w:ascii="Times New Roman" w:hAnsi="Times New Roman" w:eastAsia="宋体"/>
                <w:sz w:val="19"/>
              </w:rPr>
              <w:t>X 经代谢物 M 间接压制 LAB</w:t>
            </w:r>
          </w:p>
        </w:tc>
      </w:tr>
      <w:tr>
        <w:tc>
          <w:tcPr>
            <w:tcW w:type="dxa" w:w="2880"/>
          </w:tcPr>
          <w:p>
            <w:r>
              <w:rPr>
                <w:rFonts w:ascii="Times New Roman" w:hAnsi="Times New Roman" w:eastAsia="宋体"/>
                <w:sz w:val="19"/>
              </w:rPr>
              <w:t>广谱</w:t>
            </w:r>
          </w:p>
        </w:tc>
        <w:tc>
          <w:tcPr>
            <w:tcW w:type="dxa" w:w="2880"/>
          </w:tcPr>
          <w:p>
            <w:r>
              <w:rPr>
                <w:rFonts w:ascii="Consolas" w:hAnsi="Consolas" w:eastAsia="Consolas"/>
                <w:sz w:val="18"/>
              </w:rPr>
              <w:t>J[X,·] 对多个物种均显著为负</w:t>
            </w:r>
          </w:p>
        </w:tc>
        <w:tc>
          <w:tcPr>
            <w:tcW w:type="dxa" w:w="2880"/>
          </w:tcPr>
          <w:p>
            <w:r>
              <w:rPr>
                <w:rFonts w:ascii="Times New Roman" w:hAnsi="Times New Roman" w:eastAsia="宋体"/>
                <w:sz w:val="19"/>
              </w:rPr>
              <w:t>抑制谱宽</w:t>
            </w:r>
          </w:p>
        </w:tc>
      </w:tr>
      <w:tr>
        <w:tc>
          <w:tcPr>
            <w:tcW w:type="dxa" w:w="2880"/>
          </w:tcPr>
          <w:p>
            <w:r>
              <w:rPr>
                <w:rFonts w:ascii="Times New Roman" w:hAnsi="Times New Roman" w:eastAsia="宋体"/>
                <w:sz w:val="19"/>
              </w:rPr>
              <w:t>特异</w:t>
            </w:r>
          </w:p>
        </w:tc>
        <w:tc>
          <w:tcPr>
            <w:tcW w:type="dxa" w:w="2880"/>
          </w:tcPr>
          <w:p>
            <w:r>
              <w:rPr>
                <w:rFonts w:ascii="Consolas" w:hAnsi="Consolas" w:eastAsia="Consolas"/>
                <w:sz w:val="18"/>
              </w:rPr>
              <w:t>J[X,·] 仅对 LAB（或少数）显著为负</w:t>
            </w:r>
          </w:p>
        </w:tc>
        <w:tc>
          <w:tcPr>
            <w:tcW w:type="dxa" w:w="2880"/>
          </w:tcPr>
          <w:p>
            <w:r>
              <w:rPr>
                <w:rFonts w:ascii="Times New Roman" w:hAnsi="Times New Roman" w:eastAsia="宋体"/>
                <w:sz w:val="19"/>
              </w:rPr>
              <w:t>靶向抑制</w:t>
            </w:r>
          </w:p>
        </w:tc>
      </w:tr>
      <w:tr>
        <w:tc>
          <w:tcPr>
            <w:tcW w:type="dxa" w:w="2880"/>
          </w:tcPr>
          <w:p>
            <w:r>
              <w:rPr>
                <w:rFonts w:ascii="Times New Roman" w:hAnsi="Times New Roman" w:eastAsia="宋体"/>
                <w:sz w:val="19"/>
              </w:rPr>
              <w:t>长效</w:t>
            </w:r>
          </w:p>
        </w:tc>
        <w:tc>
          <w:tcPr>
            <w:tcW w:type="dxa" w:w="2880"/>
          </w:tcPr>
          <w:p>
            <w:r>
              <w:rPr>
                <w:rFonts w:ascii="Consolas" w:hAnsi="Consolas" w:eastAsia="Consolas"/>
                <w:sz w:val="18"/>
              </w:rPr>
              <w:t>逐节点/轮次拟合，J[X,LAB] 跨节点稳定存在</w:t>
            </w:r>
          </w:p>
        </w:tc>
        <w:tc>
          <w:tcPr>
            <w:tcW w:type="dxa" w:w="2880"/>
          </w:tcPr>
          <w:p>
            <w:r>
              <w:rPr>
                <w:rFonts w:ascii="Times New Roman" w:hAnsi="Times New Roman" w:eastAsia="宋体"/>
                <w:sz w:val="19"/>
              </w:rPr>
              <w:t>抑制持续（节点条件化 BM）</w:t>
            </w:r>
          </w:p>
        </w:tc>
      </w:tr>
      <w:tr>
        <w:tc>
          <w:tcPr>
            <w:tcW w:type="dxa" w:w="2880"/>
          </w:tcPr>
          <w:p>
            <w:r>
              <w:rPr>
                <w:rFonts w:ascii="Times New Roman" w:hAnsi="Times New Roman" w:eastAsia="宋体"/>
                <w:sz w:val="19"/>
              </w:rPr>
              <w:t>短效</w:t>
            </w:r>
          </w:p>
        </w:tc>
        <w:tc>
          <w:tcPr>
            <w:tcW w:type="dxa" w:w="2880"/>
          </w:tcPr>
          <w:p>
            <w:r>
              <w:rPr>
                <w:rFonts w:ascii="Consolas" w:hAnsi="Consolas" w:eastAsia="Consolas"/>
                <w:sz w:val="18"/>
              </w:rPr>
              <w:t>J[X,LAB] 仅在个别节点出现后消失</w:t>
            </w:r>
          </w:p>
        </w:tc>
        <w:tc>
          <w:tcPr>
            <w:tcW w:type="dxa" w:w="2880"/>
          </w:tcPr>
          <w:p>
            <w:r>
              <w:rPr>
                <w:rFonts w:ascii="Times New Roman" w:hAnsi="Times New Roman" w:eastAsia="宋体"/>
                <w:sz w:val="19"/>
              </w:rPr>
              <w:t>瞬时抑制</w:t>
            </w:r>
          </w:p>
        </w:tc>
      </w:tr>
    </w:tbl>
    <w:p>
      <w:pPr>
        <w:spacing w:before="80" w:after="80" w:line="317" w:lineRule="auto"/>
        <w:ind w:firstLine="280"/>
      </w:pPr>
      <w:r>
        <w:rPr>
          <w:rFonts w:ascii="Times New Roman" w:hAnsi="Times New Roman" w:eastAsia="宋体"/>
          <w:b w:val="0"/>
          <w:i/>
          <w:color w:val="555555"/>
          <w:sz w:val="21"/>
        </w:rPr>
        <w:t>长/短效的时序判定：以「工艺节点×轮次」为条件训练节点条件化玻尔兹曼机（或加时序耦合边），比较耦合的跨节点持久性，同时回答大曲微生物迁入酒醅后作用的时空延续性。</w:t>
      </w:r>
    </w:p>
    <w:p>
      <w:pPr>
        <w:spacing w:before="280" w:after="100"/>
      </w:pPr>
      <w:r>
        <w:rPr>
          <w:rFonts w:ascii="Times New Roman" w:hAnsi="Times New Roman" w:eastAsia="黑体"/>
          <w:b/>
          <w:color w:val="243B8F"/>
          <w:sz w:val="28"/>
        </w:rPr>
        <w:t>6  验证方案：模型内 + 湿实验闭环</w:t>
      </w:r>
    </w:p>
    <w:p>
      <w:pPr>
        <w:pStyle w:val="ListBullet"/>
        <w:spacing w:after="40" w:line="307" w:lineRule="auto"/>
        <w:ind w:left="360"/>
      </w:pPr>
      <w:r>
        <w:rPr>
          <w:rFonts w:ascii="Times New Roman" w:hAnsi="Times New Roman" w:eastAsia="宋体"/>
          <w:b/>
          <w:i w:val="0"/>
          <w:color w:val="1A1A1A"/>
          <w:sz w:val="21"/>
        </w:rPr>
        <w:t>模型内自洽：</w:t>
      </w:r>
      <w:r>
        <w:rPr>
          <w:rFonts w:ascii="Times New Roman" w:hAnsi="Times New Roman" w:eastAsia="宋体"/>
          <w:b w:val="0"/>
          <w:i w:val="0"/>
          <w:color w:val="1A1A1A"/>
          <w:sz w:val="21"/>
        </w:rPr>
        <w:t>对负相采样估计做 e^(−E) 重加权校正，估计误差约 0.03；合成数据（真值已知）上端到端验证方法可正确分辨接触/非接触与贡献度。</w:t>
      </w:r>
    </w:p>
    <w:p>
      <w:pPr>
        <w:pStyle w:val="ListBullet"/>
        <w:spacing w:after="40" w:line="307" w:lineRule="auto"/>
        <w:ind w:left="360"/>
      </w:pPr>
      <w:r>
        <w:rPr>
          <w:rFonts w:ascii="Times New Roman" w:hAnsi="Times New Roman" w:eastAsia="宋体"/>
          <w:b/>
          <w:i w:val="0"/>
          <w:color w:val="1A1A1A"/>
          <w:sz w:val="21"/>
        </w:rPr>
        <w:t>接触 vs 非接触（湿实验）：</w:t>
      </w:r>
      <w:r>
        <w:rPr>
          <w:rFonts w:ascii="Times New Roman" w:hAnsi="Times New Roman" w:eastAsia="宋体"/>
          <w:b w:val="0"/>
          <w:i w:val="0"/>
          <w:color w:val="1A1A1A"/>
          <w:sz w:val="21"/>
        </w:rPr>
        <w:t>Transwell/膜隔共培养（隔绝接触、保留代谢物）对比直接共培养，验证模型给出的接触/非接触标签。</w:t>
      </w:r>
    </w:p>
    <w:p>
      <w:pPr>
        <w:pStyle w:val="ListBullet"/>
        <w:spacing w:after="40" w:line="307" w:lineRule="auto"/>
        <w:ind w:left="360"/>
      </w:pPr>
      <w:r>
        <w:rPr>
          <w:rFonts w:ascii="Times New Roman" w:hAnsi="Times New Roman" w:eastAsia="宋体"/>
          <w:b/>
          <w:i w:val="0"/>
          <w:color w:val="1A1A1A"/>
          <w:sz w:val="21"/>
        </w:rPr>
        <w:t>非接触通路验证：</w:t>
      </w:r>
      <w:r>
        <w:rPr>
          <w:rFonts w:ascii="Times New Roman" w:hAnsi="Times New Roman" w:eastAsia="宋体"/>
          <w:b w:val="0"/>
          <w:i w:val="0"/>
          <w:color w:val="1A1A1A"/>
          <w:sz w:val="21"/>
        </w:rPr>
        <w:t>对关键代谢物 M 做外源添加（spike‑in）/敲低，检验乳酸菌抑制是否复现。</w:t>
      </w:r>
    </w:p>
    <w:p>
      <w:pPr>
        <w:pStyle w:val="ListBullet"/>
        <w:spacing w:after="40" w:line="307" w:lineRule="auto"/>
        <w:ind w:left="360"/>
      </w:pPr>
      <w:r>
        <w:rPr>
          <w:rFonts w:ascii="Times New Roman" w:hAnsi="Times New Roman" w:eastAsia="宋体"/>
          <w:b/>
          <w:i w:val="0"/>
          <w:color w:val="1A1A1A"/>
          <w:sz w:val="21"/>
        </w:rPr>
        <w:t>关键菌验证：</w:t>
      </w:r>
      <w:r>
        <w:rPr>
          <w:rFonts w:ascii="Times New Roman" w:hAnsi="Times New Roman" w:eastAsia="宋体"/>
          <w:b w:val="0"/>
          <w:i w:val="0"/>
          <w:color w:val="1A1A1A"/>
          <w:sz w:val="21"/>
        </w:rPr>
        <w:t>候选菌回接酒醅微宇宙/回添大曲，测乳酸菌丰度变化，比对模型预测的 ΔP。</w:t>
      </w:r>
    </w:p>
    <w:p>
      <w:pPr>
        <w:pStyle w:val="ListBullet"/>
        <w:spacing w:after="40" w:line="307" w:lineRule="auto"/>
        <w:ind w:left="360"/>
      </w:pPr>
      <w:r>
        <w:rPr>
          <w:rFonts w:ascii="Times New Roman" w:hAnsi="Times New Roman" w:eastAsia="宋体"/>
          <w:b/>
          <w:i w:val="0"/>
          <w:color w:val="1A1A1A"/>
          <w:sz w:val="21"/>
        </w:rPr>
        <w:t>后验贡献率 ≥60%：</w:t>
      </w:r>
      <w:r>
        <w:rPr>
          <w:rFonts w:ascii="Times New Roman" w:hAnsi="Times New Roman" w:eastAsia="宋体"/>
          <w:b w:val="0"/>
          <w:i w:val="0"/>
          <w:color w:val="1A1A1A"/>
          <w:sz w:val="21"/>
        </w:rPr>
        <w:t>以湿实验实测的乳酸菌丰度变化拟合各菌「实测贡献」，要求筛出的关键菌集合后验贡献率 ≥60%（对应验收指标）。</w:t>
      </w:r>
    </w:p>
    <w:p>
      <w:pPr>
        <w:spacing w:before="280" w:after="100"/>
      </w:pPr>
      <w:r>
        <w:rPr>
          <w:rFonts w:ascii="Times New Roman" w:hAnsi="Times New Roman" w:eastAsia="黑体"/>
          <w:b/>
          <w:color w:val="243B8F"/>
          <w:sz w:val="28"/>
        </w:rPr>
        <w:t>7  概念验证（合成数据，预埋真值，可复现）</w:t>
      </w:r>
    </w:p>
    <w:p>
      <w:pPr>
        <w:spacing w:before="0" w:after="80" w:line="317" w:lineRule="auto"/>
        <w:ind w:firstLine="280"/>
      </w:pPr>
      <w:r>
        <w:rPr>
          <w:rFonts w:ascii="Times New Roman" w:hAnsi="Times New Roman" w:eastAsia="宋体"/>
          <w:b w:val="0"/>
          <w:i w:val="0"/>
          <w:color w:val="1A1A1A"/>
          <w:sz w:val="21"/>
        </w:rPr>
        <w:t>为在真值已知的条件下验证方法可分辨接触/非接触，我们构造含 360–900 样本、含 20 个纯噪声特征的合成多组学数据，预埋：接触抑制菌 C（J[C,LAB]&lt;0）、非接触抑制菌 NC（经代谢物 M）、广谱抑制菌 BS、共存菌 co1。端到端运行结果：</w:t>
      </w:r>
    </w:p>
    <w:p>
      <w:pPr>
        <w:pStyle w:val="ListBullet"/>
        <w:spacing w:after="40" w:line="307" w:lineRule="auto"/>
        <w:ind w:left="360"/>
      </w:pPr>
      <w:r>
        <w:rPr>
          <w:rFonts w:ascii="Times New Roman" w:hAnsi="Times New Roman" w:eastAsia="宋体"/>
          <w:b w:val="0"/>
          <w:i w:val="0"/>
          <w:color w:val="1A1A1A"/>
          <w:sz w:val="21"/>
        </w:rPr>
        <w:t>QVAE 从 29 维（含 20 噪声）干净选出 7 个真结构特征（LAB/C/NC/M/BS/co1/T2），排除全部噪声；</w:t>
      </w:r>
    </w:p>
    <w:p>
      <w:pPr>
        <w:pStyle w:val="ListBullet"/>
        <w:spacing w:after="40" w:line="307" w:lineRule="auto"/>
        <w:ind w:left="360"/>
      </w:pPr>
      <w:r>
        <w:rPr>
          <w:rFonts w:ascii="Times New Roman" w:hAnsi="Times New Roman" w:eastAsia="宋体"/>
          <w:b w:val="0"/>
          <w:i w:val="0"/>
          <w:color w:val="1A1A1A"/>
          <w:sz w:val="21"/>
        </w:rPr>
        <w:t>玻尔兹曼机正确恢复符号结构：J[C,LAB]≈−0.39（接触·特异）、BS 对 LAB/co1/T2 均负（广谱）、co1 为正（共存）；</w:t>
      </w:r>
    </w:p>
    <w:p>
      <w:pPr>
        <w:pStyle w:val="ListBullet"/>
        <w:spacing w:after="40" w:line="307" w:lineRule="auto"/>
        <w:ind w:left="360"/>
      </w:pPr>
      <w:r>
        <w:rPr>
          <w:rFonts w:ascii="Times New Roman" w:hAnsi="Times New Roman" w:eastAsia="宋体"/>
          <w:b w:val="0"/>
          <w:i w:val="0"/>
          <w:color w:val="1A1A1A"/>
          <w:sz w:val="21"/>
        </w:rPr>
        <w:t>关键复现「相关≠互作」：corr(NC,LAB)≈−0.68 为负，但直接 J[NC,LAB]≈−0.08≈0，且 J[NC,M]&gt;0、J[M,LAB]&lt;0 ⇒ 正确判为非接触/经 M 介导；</w:t>
      </w:r>
    </w:p>
    <w:p>
      <w:pPr>
        <w:pStyle w:val="ListBullet"/>
        <w:spacing w:after="40" w:line="307" w:lineRule="auto"/>
        <w:ind w:left="360"/>
      </w:pPr>
      <w:r>
        <w:rPr>
          <w:rFonts w:ascii="Times New Roman" w:hAnsi="Times New Roman" w:eastAsia="宋体"/>
          <w:b w:val="0"/>
          <w:i w:val="0"/>
          <w:color w:val="1A1A1A"/>
          <w:sz w:val="21"/>
        </w:rPr>
        <w:t>关键复现「相关≠互作」：corr(NC,LAB)&lt;0，但直接 J[NC,LAB]≈−0.09、经 M 介导（非接触）；反事实敲除给出各通路贡献度，累计 ≥60% 关键抑制菌集为 {BS, M}（约 65%）。全程开物 Kaiwu 1.3.1。</w:t>
      </w:r>
    </w:p>
    <w:p>
      <w:pPr>
        <w:spacing w:before="0" w:after="80" w:line="317" w:lineRule="auto"/>
        <w:ind w:firstLine="280"/>
      </w:pPr>
      <w:r>
        <w:rPr>
          <w:rFonts w:ascii="Times New Roman" w:hAnsi="Times New Roman" w:eastAsia="宋体"/>
          <w:b w:val="0"/>
          <w:i/>
          <w:color w:val="555555"/>
          <w:sz w:val="21"/>
        </w:rPr>
        <w:t>上述流程离线（numpy 参考后端）即可复现；设 BACKEND='kaiwu' 并载入开物 SDK（公开版 1.3.1）即切换真·相干伊辛机采样。配套 tutorial（.py/.ipynb）随报告提供。</w:t>
      </w:r>
    </w:p>
    <w:p>
      <w:pPr>
        <w:spacing w:before="280" w:after="100"/>
      </w:pPr>
      <w:r>
        <w:rPr>
          <w:rFonts w:ascii="Times New Roman" w:hAnsi="Times New Roman" w:eastAsia="黑体"/>
          <w:b/>
          <w:color w:val="243B8F"/>
          <w:sz w:val="28"/>
        </w:rPr>
        <w:t>8  与验收指标的映射</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19"/>
              </w:rPr>
              <w:t>榜题指标（要点）</w:t>
            </w:r>
          </w:p>
        </w:tc>
        <w:tc>
          <w:tcPr>
            <w:tcW w:type="dxa" w:w="2880"/>
          </w:tcPr>
          <w:p>
            <w:r>
              <w:rPr>
                <w:rFonts w:ascii="Times New Roman" w:hAnsi="Times New Roman" w:eastAsia="黑体"/>
                <w:b/>
                <w:sz w:val="19"/>
              </w:rPr>
              <w:t>本方案交付物</w:t>
            </w:r>
          </w:p>
        </w:tc>
        <w:tc>
          <w:tcPr>
            <w:tcW w:type="dxa" w:w="2880"/>
          </w:tcPr>
          <w:p>
            <w:r>
              <w:rPr>
                <w:rFonts w:ascii="Times New Roman" w:hAnsi="Times New Roman" w:eastAsia="黑体"/>
                <w:b/>
                <w:sz w:val="19"/>
              </w:rPr>
              <w:t>阶段</w:t>
            </w:r>
          </w:p>
        </w:tc>
      </w:tr>
      <w:tr>
        <w:tc>
          <w:tcPr>
            <w:tcW w:type="dxa" w:w="2880"/>
          </w:tcPr>
          <w:p>
            <w:r>
              <w:rPr>
                <w:rFonts w:ascii="Times New Roman" w:hAnsi="Times New Roman" w:eastAsia="宋体"/>
                <w:sz w:val="19"/>
              </w:rPr>
              <w:t>能定植微生物 ≥10、相关代谢物 ≥100，覆盖 ≥4 节点×3 轮的演替</w:t>
            </w:r>
          </w:p>
        </w:tc>
        <w:tc>
          <w:tcPr>
            <w:tcW w:type="dxa" w:w="2880"/>
          </w:tcPr>
          <w:p>
            <w:r>
              <w:rPr>
                <w:rFonts w:ascii="Times New Roman" w:hAnsi="Times New Roman" w:eastAsia="宋体"/>
                <w:sz w:val="19"/>
              </w:rPr>
              <w:t>QVAE 关键特征抽取 + CSP 演替判定</w:t>
            </w:r>
          </w:p>
        </w:tc>
        <w:tc>
          <w:tcPr>
            <w:tcW w:type="dxa" w:w="2880"/>
          </w:tcPr>
          <w:p>
            <w:r>
              <w:rPr>
                <w:rFonts w:ascii="Times New Roman" w:hAnsi="Times New Roman" w:eastAsia="宋体"/>
                <w:sz w:val="19"/>
              </w:rPr>
              <w:t>①</w:t>
            </w:r>
          </w:p>
        </w:tc>
      </w:tr>
      <w:tr>
        <w:tc>
          <w:tcPr>
            <w:tcW w:type="dxa" w:w="2880"/>
          </w:tcPr>
          <w:p>
            <w:r>
              <w:rPr>
                <w:rFonts w:ascii="Times New Roman" w:hAnsi="Times New Roman" w:eastAsia="宋体"/>
                <w:sz w:val="19"/>
              </w:rPr>
              <w:t>≥1 关键乳酸菌；互作微生物 ≥10、代谢物 ≥100；广谱/特异、接触/非接触、长/短</w:t>
            </w:r>
          </w:p>
        </w:tc>
        <w:tc>
          <w:tcPr>
            <w:tcW w:type="dxa" w:w="2880"/>
          </w:tcPr>
          <w:p>
            <w:r>
              <w:rPr>
                <w:rFonts w:ascii="Times New Roman" w:hAnsi="Times New Roman" w:eastAsia="宋体"/>
                <w:sz w:val="19"/>
              </w:rPr>
              <w:t>玻尔兹曼机学 J + 结构判据 + 节点条件化 BM</w:t>
            </w:r>
          </w:p>
        </w:tc>
        <w:tc>
          <w:tcPr>
            <w:tcW w:type="dxa" w:w="2880"/>
          </w:tcPr>
          <w:p>
            <w:r>
              <w:rPr>
                <w:rFonts w:ascii="Times New Roman" w:hAnsi="Times New Roman" w:eastAsia="宋体"/>
                <w:sz w:val="19"/>
              </w:rPr>
              <w:t>②⑤</w:t>
            </w:r>
          </w:p>
        </w:tc>
      </w:tr>
      <w:tr>
        <w:tc>
          <w:tcPr>
            <w:tcW w:type="dxa" w:w="2880"/>
          </w:tcPr>
          <w:p>
            <w:r>
              <w:rPr>
                <w:rFonts w:ascii="Times New Roman" w:hAnsi="Times New Roman" w:eastAsia="宋体"/>
                <w:sz w:val="19"/>
              </w:rPr>
              <w:t>各通路相对贡献度、建立验证方法、后验贡献率 ≥60% 关键菌</w:t>
            </w:r>
          </w:p>
        </w:tc>
        <w:tc>
          <w:tcPr>
            <w:tcW w:type="dxa" w:w="2880"/>
          </w:tcPr>
          <w:p>
            <w:r>
              <w:rPr>
                <w:rFonts w:ascii="Times New Roman" w:hAnsi="Times New Roman" w:eastAsia="宋体"/>
                <w:sz w:val="19"/>
              </w:rPr>
              <w:t>反事实敲除（CIM 重采样）+ 湿实验闭环</w:t>
            </w:r>
          </w:p>
        </w:tc>
        <w:tc>
          <w:tcPr>
            <w:tcW w:type="dxa" w:w="2880"/>
          </w:tcPr>
          <w:p>
            <w:r>
              <w:rPr>
                <w:rFonts w:ascii="Times New Roman" w:hAnsi="Times New Roman" w:eastAsia="宋体"/>
                <w:sz w:val="19"/>
              </w:rPr>
              <w:t>③⑥</w:t>
            </w:r>
          </w:p>
        </w:tc>
      </w:tr>
      <w:tr>
        <w:tc>
          <w:tcPr>
            <w:tcW w:type="dxa" w:w="2880"/>
          </w:tcPr>
          <w:p>
            <w:r>
              <w:rPr>
                <w:rFonts w:ascii="Times New Roman" w:hAnsi="Times New Roman" w:eastAsia="宋体"/>
                <w:sz w:val="19"/>
              </w:rPr>
              <w:t>≥2 篇高水平 SCI、≥1 项发明专利</w:t>
            </w:r>
          </w:p>
        </w:tc>
        <w:tc>
          <w:tcPr>
            <w:tcW w:type="dxa" w:w="2880"/>
          </w:tcPr>
          <w:p>
            <w:r>
              <w:rPr>
                <w:rFonts w:ascii="Times New Roman" w:hAnsi="Times New Roman" w:eastAsia="宋体"/>
                <w:sz w:val="19"/>
              </w:rPr>
              <w:t>CSP 群落系统势（新指标）+ 量子贡献度量化法（专利）</w:t>
            </w:r>
          </w:p>
        </w:tc>
        <w:tc>
          <w:tcPr>
            <w:tcW w:type="dxa" w:w="2880"/>
          </w:tcPr>
          <w:p>
            <w:r>
              <w:rPr>
                <w:rFonts w:ascii="Times New Roman" w:hAnsi="Times New Roman" w:eastAsia="宋体"/>
                <w:sz w:val="19"/>
              </w:rPr>
              <w:t>—</w:t>
            </w:r>
          </w:p>
        </w:tc>
      </w:tr>
    </w:tbl>
    <w:p>
      <w:pPr>
        <w:spacing w:before="280" w:after="100"/>
      </w:pPr>
      <w:r>
        <w:rPr>
          <w:rFonts w:ascii="Times New Roman" w:hAnsi="Times New Roman" w:eastAsia="黑体"/>
          <w:b/>
          <w:color w:val="243B8F"/>
          <w:sz w:val="28"/>
        </w:rPr>
        <w:t>9  风险与边界</w:t>
      </w:r>
    </w:p>
    <w:p>
      <w:pPr>
        <w:pStyle w:val="ListBullet"/>
        <w:spacing w:after="40" w:line="307" w:lineRule="auto"/>
        <w:ind w:left="360"/>
      </w:pPr>
      <w:r>
        <w:rPr>
          <w:rFonts w:ascii="Times New Roman" w:hAnsi="Times New Roman" w:eastAsia="宋体"/>
          <w:b/>
          <w:i w:val="0"/>
          <w:color w:val="1A1A1A"/>
          <w:sz w:val="21"/>
        </w:rPr>
        <w:t>数据稀疏/样本偏少：</w:t>
      </w:r>
      <w:r>
        <w:rPr>
          <w:rFonts w:ascii="Times New Roman" w:hAnsi="Times New Roman" w:eastAsia="宋体"/>
          <w:b w:val="0"/>
          <w:i w:val="0"/>
          <w:color w:val="1A1A1A"/>
          <w:sz w:val="21"/>
        </w:rPr>
        <w:t>单分组样本可能仅数条至数十；样本过少时 QVAE 相对 PCA/PCoA 增益不足——优先宏基因组/代谢组、加强生物学平行、先筛高可变特征再 CLR/log。</w:t>
      </w:r>
    </w:p>
    <w:p>
      <w:pPr>
        <w:pStyle w:val="ListBullet"/>
        <w:spacing w:after="40" w:line="307" w:lineRule="auto"/>
        <w:ind w:left="360"/>
      </w:pPr>
      <w:r>
        <w:rPr>
          <w:rFonts w:ascii="Times New Roman" w:hAnsi="Times New Roman" w:eastAsia="宋体"/>
          <w:b/>
          <w:i w:val="0"/>
          <w:color w:val="1A1A1A"/>
          <w:sz w:val="21"/>
        </w:rPr>
        <w:t>代谢组未覆盖真实中介物：</w:t>
      </w:r>
      <w:r>
        <w:rPr>
          <w:rFonts w:ascii="Times New Roman" w:hAnsi="Times New Roman" w:eastAsia="宋体"/>
          <w:b w:val="0"/>
          <w:i w:val="0"/>
          <w:color w:val="1A1A1A"/>
          <w:sz w:val="21"/>
        </w:rPr>
        <w:t>可能把非接触误判为接触——以 transwell 湿实验交叉校验，必要时补靶向代谢组。</w:t>
      </w:r>
    </w:p>
    <w:p>
      <w:pPr>
        <w:pStyle w:val="ListBullet"/>
        <w:spacing w:after="40" w:line="307" w:lineRule="auto"/>
        <w:ind w:left="360"/>
      </w:pPr>
      <w:r>
        <w:rPr>
          <w:rFonts w:ascii="Times New Roman" w:hAnsi="Times New Roman" w:eastAsia="宋体"/>
          <w:b/>
          <w:i w:val="0"/>
          <w:color w:val="1A1A1A"/>
          <w:sz w:val="21"/>
        </w:rPr>
        <w:t>CIM 近似热态导致负相有偏：</w:t>
      </w:r>
      <w:r>
        <w:rPr>
          <w:rFonts w:ascii="Times New Roman" w:hAnsi="Times New Roman" w:eastAsia="宋体"/>
          <w:b w:val="0"/>
          <w:i w:val="0"/>
          <w:color w:val="1A1A1A"/>
          <w:sz w:val="21"/>
        </w:rPr>
        <w:t>以 e^(−E) 重要性重加权校正（估计误差约 0.03）。</w:t>
      </w:r>
    </w:p>
    <w:p>
      <w:pPr>
        <w:pStyle w:val="ListBullet"/>
        <w:spacing w:after="40" w:line="307" w:lineRule="auto"/>
        <w:ind w:left="360"/>
      </w:pPr>
      <w:r>
        <w:rPr>
          <w:rFonts w:ascii="Times New Roman" w:hAnsi="Times New Roman" w:eastAsia="宋体"/>
          <w:b/>
          <w:i w:val="0"/>
          <w:color w:val="1A1A1A"/>
          <w:sz w:val="21"/>
        </w:rPr>
        <w:t>真机排队/额度：</w:t>
      </w:r>
      <w:r>
        <w:rPr>
          <w:rFonts w:ascii="Times New Roman" w:hAnsi="Times New Roman" w:eastAsia="宋体"/>
          <w:b w:val="0"/>
          <w:i w:val="0"/>
          <w:color w:val="1A1A1A"/>
          <w:sz w:val="21"/>
        </w:rPr>
        <w:t>离线 CIM 模拟器先行，真机仅用于规模化关键步。</w:t>
      </w:r>
    </w:p>
    <w:p>
      <w:pPr>
        <w:spacing w:before="280" w:after="100"/>
      </w:pPr>
      <w:r>
        <w:rPr>
          <w:rFonts w:ascii="Times New Roman" w:hAnsi="Times New Roman" w:eastAsia="黑体"/>
          <w:b/>
          <w:color w:val="243B8F"/>
          <w:sz w:val="28"/>
        </w:rPr>
        <w:t xml:space="preserve">参考文献  </w:t>
      </w:r>
    </w:p>
    <w:p>
      <w:pPr>
        <w:spacing w:after="40" w:line="288" w:lineRule="auto"/>
        <w:ind w:left="360" w:hanging="360"/>
      </w:pPr>
      <w:r>
        <w:rPr>
          <w:rFonts w:ascii="Times New Roman" w:hAnsi="Times New Roman" w:eastAsia="宋体"/>
          <w:b/>
          <w:sz w:val="18"/>
        </w:rPr>
        <w:t xml:space="preserve">[1] </w:t>
      </w:r>
      <w:r>
        <w:rPr>
          <w:rFonts w:ascii="Times New Roman" w:hAnsi="Times New Roman" w:eastAsia="宋体"/>
          <w:color w:val="555555"/>
          <w:sz w:val="18"/>
        </w:rPr>
        <w:t>Barahona, F. (1982). On the computational complexity of Ising spin glass models. J. Phys. A: Math. Gen. 15, 3241.</w:t>
      </w:r>
    </w:p>
    <w:p>
      <w:pPr>
        <w:spacing w:after="40" w:line="288" w:lineRule="auto"/>
        <w:ind w:left="360" w:hanging="360"/>
      </w:pPr>
      <w:r>
        <w:rPr>
          <w:rFonts w:ascii="Times New Roman" w:hAnsi="Times New Roman" w:eastAsia="宋体"/>
          <w:b/>
          <w:sz w:val="18"/>
        </w:rPr>
        <w:t xml:space="preserve">[2] </w:t>
      </w:r>
      <w:r>
        <w:rPr>
          <w:rFonts w:ascii="Times New Roman" w:hAnsi="Times New Roman" w:eastAsia="宋体"/>
          <w:color w:val="555555"/>
          <w:sz w:val="18"/>
        </w:rPr>
        <w:t>Hinton, G. E. (2007). Boltzmann machine. Scholarpedia 2, 1668.</w:t>
      </w:r>
    </w:p>
    <w:p>
      <w:pPr>
        <w:spacing w:after="40" w:line="288" w:lineRule="auto"/>
        <w:ind w:left="360" w:hanging="360"/>
      </w:pPr>
      <w:r>
        <w:rPr>
          <w:rFonts w:ascii="Times New Roman" w:hAnsi="Times New Roman" w:eastAsia="宋体"/>
          <w:b/>
          <w:sz w:val="18"/>
        </w:rPr>
        <w:t xml:space="preserve">[3] </w:t>
      </w:r>
      <w:r>
        <w:rPr>
          <w:rFonts w:ascii="Times New Roman" w:hAnsi="Times New Roman" w:eastAsia="宋体"/>
          <w:color w:val="555555"/>
          <w:sz w:val="18"/>
        </w:rPr>
        <w:t>Morcos, F. et al. (2011). Direct-coupling analysis of residue coevolution captures native contacts across many protein families. PNAS 108, E1293.</w:t>
      </w:r>
    </w:p>
    <w:p>
      <w:pPr>
        <w:spacing w:after="40" w:line="288" w:lineRule="auto"/>
        <w:ind w:left="360" w:hanging="360"/>
      </w:pPr>
      <w:r>
        <w:rPr>
          <w:rFonts w:ascii="Times New Roman" w:hAnsi="Times New Roman" w:eastAsia="宋体"/>
          <w:b/>
          <w:sz w:val="18"/>
        </w:rPr>
        <w:t xml:space="preserve">[4] </w:t>
      </w:r>
      <w:r>
        <w:rPr>
          <w:rFonts w:ascii="Times New Roman" w:hAnsi="Times New Roman" w:eastAsia="宋体"/>
          <w:color w:val="555555"/>
          <w:sz w:val="18"/>
        </w:rPr>
        <w:t>Kurtz, Z. D. et al. (2015). Sparse and compositionally robust inference of microbial ecological networks (SPIEC-EASI). PLoS Comput. Biol. 11, e1004226.</w:t>
      </w:r>
    </w:p>
    <w:p>
      <w:pPr>
        <w:spacing w:after="40" w:line="288" w:lineRule="auto"/>
        <w:ind w:left="360" w:hanging="360"/>
      </w:pPr>
      <w:r>
        <w:rPr>
          <w:rFonts w:ascii="Times New Roman" w:hAnsi="Times New Roman" w:eastAsia="宋体"/>
          <w:b/>
          <w:sz w:val="18"/>
        </w:rPr>
        <w:t xml:space="preserve">[5] </w:t>
      </w:r>
      <w:r>
        <w:rPr>
          <w:rFonts w:ascii="Times New Roman" w:hAnsi="Times New Roman" w:eastAsia="宋体"/>
          <w:color w:val="555555"/>
          <w:sz w:val="18"/>
        </w:rPr>
        <w:t>Friedman, J. &amp; Alm, E. J. (2012). Inferring correlation networks from genomic survey data (SparCC). PLoS Comput. Biol. 8, e1002687.</w:t>
      </w:r>
    </w:p>
    <w:p>
      <w:pPr>
        <w:spacing w:after="40" w:line="288" w:lineRule="auto"/>
        <w:ind w:left="360" w:hanging="360"/>
      </w:pPr>
      <w:r>
        <w:rPr>
          <w:rFonts w:ascii="Times New Roman" w:hAnsi="Times New Roman" w:eastAsia="宋体"/>
          <w:b/>
          <w:sz w:val="18"/>
        </w:rPr>
        <w:t xml:space="preserve">[6] </w:t>
      </w:r>
      <w:r>
        <w:rPr>
          <w:rFonts w:ascii="Times New Roman" w:hAnsi="Times New Roman" w:eastAsia="宋体"/>
          <w:color w:val="555555"/>
          <w:sz w:val="18"/>
        </w:rPr>
        <w:t>Honjo, T. et al. (2021). 100,000-spin coherent Ising machine. Science Advances 7, eabh0952.</w:t>
      </w:r>
    </w:p>
    <w:p>
      <w:pPr>
        <w:spacing w:after="40" w:line="288" w:lineRule="auto"/>
        <w:ind w:left="360" w:hanging="360"/>
      </w:pPr>
      <w:r>
        <w:rPr>
          <w:rFonts w:ascii="Times New Roman" w:hAnsi="Times New Roman" w:eastAsia="宋体"/>
          <w:b/>
          <w:sz w:val="18"/>
        </w:rPr>
        <w:t xml:space="preserve">[7] </w:t>
      </w:r>
      <w:r>
        <w:rPr>
          <w:rFonts w:ascii="Times New Roman" w:hAnsi="Times New Roman" w:eastAsia="宋体"/>
          <w:color w:val="555555"/>
          <w:sz w:val="18"/>
        </w:rPr>
        <w:t>Yamamoto, Y., Leleu, T., Ganguli, S. &amp; Mabuchi, H. (2020). Coherent Ising machines—Quantum optics and neural network perspectives. Appl. Phys. Lett. 117, 160501.</w:t>
      </w:r>
    </w:p>
    <w:p>
      <w:pPr>
        <w:spacing w:after="40" w:line="288" w:lineRule="auto"/>
        <w:ind w:left="360" w:hanging="360"/>
      </w:pPr>
      <w:r>
        <w:rPr>
          <w:rFonts w:ascii="Times New Roman" w:hAnsi="Times New Roman" w:eastAsia="宋体"/>
          <w:b/>
          <w:sz w:val="18"/>
        </w:rPr>
        <w:t xml:space="preserve">[8] </w:t>
      </w:r>
      <w:r>
        <w:rPr>
          <w:rFonts w:ascii="Times New Roman" w:hAnsi="Times New Roman" w:eastAsia="宋体"/>
          <w:color w:val="555555"/>
          <w:sz w:val="18"/>
        </w:rPr>
        <w:t>Teschendorff, A. E. &amp; Feinberg, A. P. (2021). Statistical mechanics meets single-cell biology. Nat. Rev. Genet. 22, 459.</w:t>
      </w:r>
    </w:p>
    <w:p>
      <w:pPr>
        <w:spacing w:after="40" w:line="288" w:lineRule="auto"/>
        <w:ind w:left="360" w:hanging="360"/>
      </w:pPr>
      <w:r>
        <w:rPr>
          <w:rFonts w:ascii="Times New Roman" w:hAnsi="Times New Roman" w:eastAsia="宋体"/>
          <w:b/>
          <w:sz w:val="18"/>
        </w:rPr>
        <w:t xml:space="preserve">[9] </w:t>
      </w:r>
      <w:r>
        <w:rPr>
          <w:rFonts w:ascii="Times New Roman" w:hAnsi="Times New Roman" w:eastAsia="宋体"/>
          <w:color w:val="555555"/>
          <w:sz w:val="18"/>
        </w:rPr>
        <w:t>Wang, F.-a., Chen, S., Xuan, Y. et al. Quantum-boosted deep generative learning unveils the energy-landscape of single-cell omics (scQuantaVita,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80"/>
    </w:pPr>
    <w:rPr>
      <w:rFonts w:ascii="Times New Roman" w:hAnsi="Times New Roman" w:eastAsia="宋体"/>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