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B0663A3" w14:textId="41F56845" w:rsidR="004F2A8B" w:rsidRPr="00970AFC" w:rsidRDefault="00970AFC" w:rsidP="3D28A338">
            <w:pPr>
              <w:jc w:val="both"/>
              <w:rPr>
                <w:rFonts w:ascii="Calibri" w:hAnsi="Calibri"/>
                <w:color w:val="1F3864" w:themeColor="accent5" w:themeShade="80"/>
              </w:rPr>
            </w:pPr>
            <w:r w:rsidRPr="00970AFC">
              <w:rPr>
                <w:rFonts w:eastAsiaTheme="majorEastAsia"/>
                <w:color w:val="1F3864" w:themeColor="accent5" w:themeShade="80"/>
                <w:sz w:val="24"/>
                <w:szCs w:val="24"/>
              </w:rPr>
              <w:t>Hemos logrado avanzar con las actividades iniciales de nuestra Carta Gantt, enfocándonos en la documentación y planificación, como la Definición Estratégica, el Product Backlog priorizado y el diseño de la Arquitectura y Base de Datos. El principal factor que ha dificultado el desarrollo es la complicación para comunicarnos en el día a día y coordinar horarios para juntarnos, lo que a veces retrasa el trabajo. Por otro lado, lo que más ha facilitado el avance es que, al lograr reunirnos, tomamos decisiones unánimes y avanzamos a un excelente ritmo.</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Pr="00970AFC" w:rsidRDefault="004F2A8B" w:rsidP="3D28A338">
            <w:pPr>
              <w:jc w:val="both"/>
              <w:rPr>
                <w:rFonts w:ascii="Calibri" w:hAnsi="Calibri"/>
                <w:color w:val="1F3864" w:themeColor="accent5" w:themeShade="80"/>
              </w:rPr>
            </w:pPr>
          </w:p>
          <w:p w14:paraId="348C2F04" w14:textId="5FF96BA0" w:rsidR="004F2A8B" w:rsidRPr="00970AFC" w:rsidRDefault="00970AFC" w:rsidP="3D28A338">
            <w:pPr>
              <w:jc w:val="both"/>
              <w:rPr>
                <w:rFonts w:ascii="Calibri" w:hAnsi="Calibri"/>
                <w:color w:val="1F3864" w:themeColor="accent5" w:themeShade="80"/>
              </w:rPr>
            </w:pPr>
            <w:r w:rsidRPr="00970AFC">
              <w:rPr>
                <w:rFonts w:ascii="Calibri" w:hAnsi="Calibri"/>
                <w:color w:val="1F3864" w:themeColor="accent5" w:themeShade="80"/>
              </w:rPr>
              <w:t>Para enfrentar la dificultad de coordinar reuniones y mejorar la comunicación diaria, planeamos aprovechar mejor nuestra metodología Scrum. Buscaremos organizar puntos de contacto breves que nos permitan revisar el estado de nuestros documentos, sin depender de que todos coincidamos en el mismo horario.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5D99CA8E" w14:textId="50A0AB54" w:rsidR="004F2A8B" w:rsidRDefault="00A849AE" w:rsidP="3D28A338">
            <w:pPr>
              <w:jc w:val="both"/>
              <w:rPr>
                <w:rFonts w:ascii="Calibri" w:hAnsi="Calibri"/>
                <w:b/>
                <w:bCs/>
                <w:color w:val="1F4E79" w:themeColor="accent1" w:themeShade="80"/>
              </w:rPr>
            </w:pPr>
            <w:r w:rsidRPr="00A849AE">
              <w:rPr>
                <w:rFonts w:ascii="Calibri" w:hAnsi="Calibri"/>
                <w:color w:val="1F3864" w:themeColor="accent5" w:themeShade="80"/>
              </w:rPr>
              <w:t>Evalúo mi trabajo de forma positiva. Destaco que siempre estoy a disposición para trabajar y trato de estar constantemente pendiente de mis compañeros para que compartamos ideas, demos nuestra opinión y así podamos avanzar súper bien en conjunto. Si bien hay veces que se me dificulta juntarme por los viajes de clases-hogar y pierdo mucho tiempo en el día, trato de organizarme para que los días que estoy más libre pueda avanzar todo lo posibl</w:t>
            </w:r>
            <w:r>
              <w:rPr>
                <w:rFonts w:ascii="Calibri" w:hAnsi="Calibri"/>
                <w:color w:val="1F3864" w:themeColor="accent5" w:themeShade="80"/>
              </w:rPr>
              <w:t>e</w:t>
            </w:r>
            <w:r w:rsidRPr="00A849AE">
              <w:rPr>
                <w:rFonts w:ascii="Calibri" w:hAnsi="Calibri"/>
                <w:color w:val="1F3864" w:themeColor="accent5" w:themeShade="80"/>
              </w:rPr>
              <w:t>.</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1170F293" w:rsidR="004F2A8B" w:rsidRPr="008D3774" w:rsidRDefault="008D3774" w:rsidP="3D28A338">
            <w:pPr>
              <w:jc w:val="both"/>
              <w:rPr>
                <w:rFonts w:ascii="Calibri" w:hAnsi="Calibri"/>
                <w:color w:val="1F3864" w:themeColor="accent5" w:themeShade="80"/>
              </w:rPr>
            </w:pPr>
            <w:r>
              <w:rPr>
                <w:rFonts w:ascii="Calibri" w:hAnsi="Calibri"/>
                <w:color w:val="1F3864" w:themeColor="accent5" w:themeShade="80"/>
              </w:rPr>
              <w:t>M</w:t>
            </w:r>
            <w:r w:rsidRPr="008D3774">
              <w:rPr>
                <w:rFonts w:ascii="Calibri" w:hAnsi="Calibri"/>
                <w:color w:val="1F3864" w:themeColor="accent5" w:themeShade="80"/>
              </w:rPr>
              <w:t>i principal inquietud técnica es la implementación del algoritmo de compatibilidad de RoomMatch. Me gustaría preguntarles a los docentes,</w:t>
            </w:r>
            <w:r>
              <w:rPr>
                <w:rFonts w:ascii="Calibri" w:hAnsi="Calibri"/>
                <w:color w:val="1F3864" w:themeColor="accent5" w:themeShade="80"/>
              </w:rPr>
              <w:t xml:space="preserve"> </w:t>
            </w:r>
            <w:r w:rsidRPr="008D3774">
              <w:rPr>
                <w:rFonts w:ascii="Calibri" w:hAnsi="Calibri"/>
                <w:color w:val="1F3864" w:themeColor="accent5" w:themeShade="80"/>
              </w:rPr>
              <w:t>¿Qué estrategias de modelado de datos o buenas prácticas nos recomiendan para procesar eficientemente el cruce de preferencias de convivencia (horarios, hábitos, etc.) sin que el cálculo del "match" afecte los tiempos de respuesta de la plataforma al escalar la cantidad de usuarios?</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287C0A5A" w14:textId="39707CB3" w:rsidR="008D3774" w:rsidRPr="008D3774" w:rsidRDefault="008D3774" w:rsidP="008D3774">
            <w:pPr>
              <w:jc w:val="both"/>
              <w:rPr>
                <w:rFonts w:ascii="Calibri" w:hAnsi="Calibri"/>
                <w:color w:val="1F3864" w:themeColor="accent5" w:themeShade="80"/>
              </w:rPr>
            </w:pPr>
            <w:r w:rsidRPr="008D3774">
              <w:rPr>
                <w:rFonts w:ascii="Calibri" w:hAnsi="Calibri"/>
                <w:color w:val="1F3864" w:themeColor="accent5" w:themeShade="80"/>
              </w:rPr>
              <w:t>No consideramos necesario redistribuir las responsabilidades principales, Como nueva actividad conjunta, estableceremos la responsabilidad de trazar semanalmente la relación entre las Historias de Usuario priorizadas y las entidades del Modelo de Datos. Esto</w:t>
            </w:r>
            <w:r w:rsidR="00A849AE">
              <w:rPr>
                <w:rFonts w:ascii="Calibri" w:hAnsi="Calibri"/>
                <w:color w:val="1F3864" w:themeColor="accent5" w:themeShade="80"/>
              </w:rPr>
              <w:t xml:space="preserve"> nos</w:t>
            </w:r>
            <w:r w:rsidRPr="008D3774">
              <w:rPr>
                <w:rFonts w:ascii="Calibri" w:hAnsi="Calibri"/>
                <w:color w:val="1F3864" w:themeColor="accent5" w:themeShade="80"/>
              </w:rPr>
              <w:t xml:space="preserve"> preparará mejor para cuando comience la codificación técnica, asegurando que todos tengamos claro el impacto de cada nueva funcionalidad.</w:t>
            </w:r>
          </w:p>
          <w:p w14:paraId="3C35FF15" w14:textId="77777777" w:rsidR="004F2A8B" w:rsidRDefault="004F2A8B" w:rsidP="3D28A338">
            <w:pPr>
              <w:jc w:val="both"/>
              <w:rPr>
                <w:rFonts w:eastAsiaTheme="majorEastAsia"/>
                <w:color w:val="767171" w:themeColor="background2" w:themeShade="80"/>
                <w:sz w:val="24"/>
                <w:szCs w:val="24"/>
              </w:rPr>
            </w:pPr>
          </w:p>
          <w:p w14:paraId="2C9BCFB5" w14:textId="77777777" w:rsidR="008D3774" w:rsidRDefault="008D3774"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41A00541" w:rsidR="004F2A8B" w:rsidRPr="008D3774" w:rsidRDefault="008D3774" w:rsidP="3D28A338">
            <w:pPr>
              <w:jc w:val="both"/>
              <w:rPr>
                <w:rFonts w:eastAsiaTheme="majorEastAsia"/>
                <w:color w:val="1F3864" w:themeColor="accent5" w:themeShade="80"/>
                <w:sz w:val="24"/>
                <w:szCs w:val="24"/>
              </w:rPr>
            </w:pPr>
            <w:r w:rsidRPr="008D3774">
              <w:rPr>
                <w:rFonts w:eastAsiaTheme="majorEastAsia"/>
                <w:color w:val="1F3864" w:themeColor="accent5" w:themeShade="80"/>
                <w:sz w:val="24"/>
                <w:szCs w:val="24"/>
              </w:rPr>
              <w:t>Consideramos que el trabajo en grupo funciona muy bien cuando logramos juntarnos. Destacamos nuestra facilidad para ponernos de acuerdo rápido como equipo en las partes técnicas del proyecto, como los temas de seguridad, los reportes y las evaluaciones post-match. Lo principal que debemos mejorar es lograr mantener ese mismo ritmo de trabajo cuando estamos cada uno por su lado. Tenemos que buscar la forma de seguir avanzando con nuestras tareas sin depender siempre de que nos juntemos o coincidamos todos en el mismo horario.</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5B91A" w14:textId="77777777" w:rsidR="00AA5AEA" w:rsidRDefault="00AA5AEA" w:rsidP="00DF38AE">
      <w:pPr>
        <w:spacing w:after="0" w:line="240" w:lineRule="auto"/>
      </w:pPr>
      <w:r>
        <w:separator/>
      </w:r>
    </w:p>
  </w:endnote>
  <w:endnote w:type="continuationSeparator" w:id="0">
    <w:p w14:paraId="15BD8C88" w14:textId="77777777" w:rsidR="00AA5AEA" w:rsidRDefault="00AA5AE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9D648" w14:textId="77777777" w:rsidR="00AA5AEA" w:rsidRDefault="00AA5AEA" w:rsidP="00DF38AE">
      <w:pPr>
        <w:spacing w:after="0" w:line="240" w:lineRule="auto"/>
      </w:pPr>
      <w:r>
        <w:separator/>
      </w:r>
    </w:p>
  </w:footnote>
  <w:footnote w:type="continuationSeparator" w:id="0">
    <w:p w14:paraId="68CFF25E" w14:textId="77777777" w:rsidR="00AA5AEA" w:rsidRDefault="00AA5AE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36582061">
    <w:abstractNumId w:val="3"/>
  </w:num>
  <w:num w:numId="2" w16cid:durableId="1238247962">
    <w:abstractNumId w:val="8"/>
  </w:num>
  <w:num w:numId="3" w16cid:durableId="24184960">
    <w:abstractNumId w:val="12"/>
  </w:num>
  <w:num w:numId="4" w16cid:durableId="1025325896">
    <w:abstractNumId w:val="28"/>
  </w:num>
  <w:num w:numId="5" w16cid:durableId="1581939116">
    <w:abstractNumId w:val="30"/>
  </w:num>
  <w:num w:numId="6" w16cid:durableId="1864049266">
    <w:abstractNumId w:val="4"/>
  </w:num>
  <w:num w:numId="7" w16cid:durableId="1611545885">
    <w:abstractNumId w:val="11"/>
  </w:num>
  <w:num w:numId="8" w16cid:durableId="549538971">
    <w:abstractNumId w:val="19"/>
  </w:num>
  <w:num w:numId="9" w16cid:durableId="481893389">
    <w:abstractNumId w:val="15"/>
  </w:num>
  <w:num w:numId="10" w16cid:durableId="955790507">
    <w:abstractNumId w:val="9"/>
  </w:num>
  <w:num w:numId="11" w16cid:durableId="2065130925">
    <w:abstractNumId w:val="24"/>
  </w:num>
  <w:num w:numId="12" w16cid:durableId="1500732534">
    <w:abstractNumId w:val="35"/>
  </w:num>
  <w:num w:numId="13" w16cid:durableId="1153063507">
    <w:abstractNumId w:val="29"/>
  </w:num>
  <w:num w:numId="14" w16cid:durableId="324360317">
    <w:abstractNumId w:val="1"/>
  </w:num>
  <w:num w:numId="15" w16cid:durableId="425929562">
    <w:abstractNumId w:val="36"/>
  </w:num>
  <w:num w:numId="16" w16cid:durableId="1432971435">
    <w:abstractNumId w:val="21"/>
  </w:num>
  <w:num w:numId="17" w16cid:durableId="1848012637">
    <w:abstractNumId w:val="17"/>
  </w:num>
  <w:num w:numId="18" w16cid:durableId="688142947">
    <w:abstractNumId w:val="31"/>
  </w:num>
  <w:num w:numId="19" w16cid:durableId="232546578">
    <w:abstractNumId w:val="10"/>
  </w:num>
  <w:num w:numId="20" w16cid:durableId="704141484">
    <w:abstractNumId w:val="39"/>
  </w:num>
  <w:num w:numId="21" w16cid:durableId="670106694">
    <w:abstractNumId w:val="34"/>
  </w:num>
  <w:num w:numId="22" w16cid:durableId="803815203">
    <w:abstractNumId w:val="13"/>
  </w:num>
  <w:num w:numId="23" w16cid:durableId="944775674">
    <w:abstractNumId w:val="14"/>
  </w:num>
  <w:num w:numId="24" w16cid:durableId="1174876039">
    <w:abstractNumId w:val="5"/>
  </w:num>
  <w:num w:numId="25" w16cid:durableId="436684488">
    <w:abstractNumId w:val="16"/>
  </w:num>
  <w:num w:numId="26" w16cid:durableId="2063360180">
    <w:abstractNumId w:val="20"/>
  </w:num>
  <w:num w:numId="27" w16cid:durableId="1688408033">
    <w:abstractNumId w:val="23"/>
  </w:num>
  <w:num w:numId="28" w16cid:durableId="1024014530">
    <w:abstractNumId w:val="0"/>
  </w:num>
  <w:num w:numId="29" w16cid:durableId="891692656">
    <w:abstractNumId w:val="18"/>
  </w:num>
  <w:num w:numId="30" w16cid:durableId="166747124">
    <w:abstractNumId w:val="22"/>
  </w:num>
  <w:num w:numId="31" w16cid:durableId="650253757">
    <w:abstractNumId w:val="2"/>
  </w:num>
  <w:num w:numId="32" w16cid:durableId="1095710791">
    <w:abstractNumId w:val="7"/>
  </w:num>
  <w:num w:numId="33" w16cid:durableId="982154412">
    <w:abstractNumId w:val="32"/>
  </w:num>
  <w:num w:numId="34" w16cid:durableId="1280990711">
    <w:abstractNumId w:val="38"/>
  </w:num>
  <w:num w:numId="35" w16cid:durableId="102072068">
    <w:abstractNumId w:val="6"/>
  </w:num>
  <w:num w:numId="36" w16cid:durableId="666715967">
    <w:abstractNumId w:val="25"/>
  </w:num>
  <w:num w:numId="37" w16cid:durableId="575826409">
    <w:abstractNumId w:val="37"/>
  </w:num>
  <w:num w:numId="38" w16cid:durableId="575821735">
    <w:abstractNumId w:val="27"/>
  </w:num>
  <w:num w:numId="39" w16cid:durableId="42603350">
    <w:abstractNumId w:val="26"/>
  </w:num>
  <w:num w:numId="40" w16cid:durableId="1038020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6B2"/>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28E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4F50"/>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774"/>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0AFC"/>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49AE"/>
    <w:rsid w:val="00A86A51"/>
    <w:rsid w:val="00A906D4"/>
    <w:rsid w:val="00A91303"/>
    <w:rsid w:val="00A92491"/>
    <w:rsid w:val="00A9293B"/>
    <w:rsid w:val="00A934A6"/>
    <w:rsid w:val="00A959EE"/>
    <w:rsid w:val="00A96C5D"/>
    <w:rsid w:val="00AA1C00"/>
    <w:rsid w:val="00AA5AEA"/>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319"/>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644</Words>
  <Characters>3545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Noemí Goler</cp:lastModifiedBy>
  <cp:revision>44</cp:revision>
  <cp:lastPrinted>2019-12-16T20:10:00Z</cp:lastPrinted>
  <dcterms:created xsi:type="dcterms:W3CDTF">2021-12-31T12:50:00Z</dcterms:created>
  <dcterms:modified xsi:type="dcterms:W3CDTF">2026-10-06T19:46:00Z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