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46445"/>
          <w:sz w:val="40"/>
        </w:rPr>
        <w:t>PlanNplate — Privacy Policy vs. Code</w:t>
      </w:r>
    </w:p>
    <w:p>
      <w:pPr>
        <w:spacing w:after="40"/>
      </w:pPr>
      <w:r>
        <w:rPr>
          <w:color w:val="555555"/>
          <w:sz w:val="22"/>
        </w:rPr>
        <w:t>Where the published Privacy Policy does not match what the app actually does</w:t>
      </w:r>
    </w:p>
    <w:p>
      <w:pPr>
        <w:spacing w:after="200"/>
      </w:pPr>
      <w:r>
        <w:rPr>
          <w:i/>
          <w:color w:val="555555"/>
          <w:sz w:val="18"/>
        </w:rPr>
        <w:t>Prepared 26 August 2026  ·  Technical code-vs-disclosure cross-check — not legal advice; recommend review by privacy counsel before publication.</w:t>
      </w:r>
    </w:p>
    <w:p>
      <w:pPr>
        <w:spacing w:before="280" w:after="80"/>
      </w:pPr>
      <w:r>
        <w:rPr>
          <w:b/>
          <w:color w:val="E46D46"/>
          <w:sz w:val="30"/>
        </w:rPr>
        <w:t>Part A — Clauses the code directly contradicts</w:t>
      </w:r>
    </w:p>
    <w:p>
      <w:pPr>
        <w:spacing w:after="160" w:before="0"/>
      </w:pPr>
      <w:r>
        <w:rPr>
          <w:b w:val="0"/>
          <w:i/>
          <w:color w:val="555555"/>
          <w:sz w:val="19"/>
        </w:rPr>
        <w:t>Each item below is presented as: what the policy says, then — in plain language — what the code actually does.</w:t>
      </w:r>
    </w:p>
    <w:p>
      <w:pPr>
        <w:spacing w:before="240" w:after="120"/>
      </w:pPr>
      <w:r>
        <w:rPr>
          <w:b/>
          <w:color w:val="15140F"/>
          <w:sz w:val="24"/>
        </w:rPr>
        <w:t>①  Section 9.2 — deleting voice recordings</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color="auto" w:fill="EFF2EA"/>
          </w:tcPr>
          <w:p>
            <w:r/>
            <w:r>
              <w:rPr>
                <w:b/>
                <w:i w:val="0"/>
                <w:color w:val="546445"/>
                <w:sz w:val="20"/>
              </w:rPr>
              <w:t>Policy says</w:t>
            </w:r>
          </w:p>
        </w:tc>
        <w:tc>
          <w:tcPr>
            <w:tcW w:type="dxa" w:w="7056"/>
          </w:tcPr>
          <w:p>
            <w:r/>
            <w:r>
              <w:rPr>
                <w:b w:val="0"/>
                <w:i w:val="0"/>
                <w:sz w:val="20"/>
              </w:rPr>
              <w:t>The raw voice recording is "deleted immediately upon successful transcription." (line 208)</w:t>
            </w:r>
          </w:p>
        </w:tc>
      </w:tr>
      <w:tr>
        <w:tc>
          <w:tcPr>
            <w:tcW w:type="dxa" w:w="2448"/>
            <w:shd w:val="clear" w:color="auto" w:fill="FBEBE4"/>
          </w:tcPr>
          <w:p>
            <w:r/>
            <w:r>
              <w:rPr>
                <w:b/>
                <w:i w:val="0"/>
                <w:color w:val="E46D46"/>
                <w:sz w:val="20"/>
              </w:rPr>
              <w:t>What the code does</w:t>
            </w:r>
          </w:p>
        </w:tc>
        <w:tc>
          <w:tcPr>
            <w:tcW w:type="dxa" w:w="7056"/>
          </w:tcPr>
          <w:p>
            <w:r/>
            <w:r>
              <w:rPr>
                <w:b w:val="0"/>
                <w:i w:val="0"/>
                <w:sz w:val="20"/>
              </w:rPr>
              <w:t>The app records your voice to a file, uploads that file to be turned into text, and then shows you the dishes. It never deletes the recording file. The audio just sits in the app’s temporary folder until the phone happens to clear it.</w:t>
              <w:br/>
              <w:br/>
              <w:t>Code: VoiceDishCapture.tsx — transcribe() uploads the .m4a and calls landDishes() on success; there is no deleteAsync / removeAsync anywhere in the component. The recorder is unloaded (stopAndUnloadAsync) but the file at uri stays in the cache directory.</w:t>
            </w:r>
          </w:p>
        </w:tc>
      </w:tr>
      <w:tr>
        <w:tc>
          <w:tcPr>
            <w:tcW w:type="dxa" w:w="2448"/>
            <w:shd w:val="clear" w:color="auto" w:fill="F2F2F2"/>
          </w:tcPr>
          <w:p>
            <w:r/>
            <w:r>
              <w:rPr>
                <w:b/>
                <w:i w:val="0"/>
                <w:color w:val="15140F"/>
                <w:sz w:val="20"/>
              </w:rPr>
              <w:t>Match?</w:t>
            </w:r>
          </w:p>
        </w:tc>
        <w:tc>
          <w:tcPr>
            <w:tcW w:type="dxa" w:w="7056"/>
          </w:tcPr>
          <w:p>
            <w:r/>
            <w:r>
              <w:rPr>
                <w:b w:val="0"/>
                <w:i w:val="0"/>
                <w:sz w:val="20"/>
              </w:rPr>
            </w:r>
            <w:r>
              <w:rPr>
                <w:b/>
                <w:sz w:val="20"/>
              </w:rPr>
              <w:t>❌  No — the policy promises a deletion step that the code doesn’t do.</w:t>
            </w:r>
          </w:p>
        </w:tc>
      </w:tr>
    </w:tbl>
    <w:p>
      <w:pPr>
        <w:spacing w:after="40"/>
      </w:pPr>
    </w:p>
    <w:p>
      <w:pPr>
        <w:spacing w:before="240" w:after="120"/>
      </w:pPr>
      <w:r>
        <w:rPr>
          <w:b/>
          <w:color w:val="15140F"/>
          <w:sz w:val="24"/>
        </w:rPr>
        <w:t>②  Part II §2.3 — warning before the mic turns on</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color="auto" w:fill="EFF2EA"/>
          </w:tcPr>
          <w:p>
            <w:r/>
            <w:r>
              <w:rPr>
                <w:b/>
                <w:i w:val="0"/>
                <w:color w:val="546445"/>
                <w:sz w:val="20"/>
              </w:rPr>
              <w:t>Policy says</w:t>
            </w:r>
          </w:p>
        </w:tc>
        <w:tc>
          <w:tcPr>
            <w:tcW w:type="dxa" w:w="7056"/>
          </w:tcPr>
          <w:p>
            <w:r/>
            <w:r>
              <w:rPr>
                <w:b w:val="0"/>
                <w:i w:val="0"/>
                <w:sz w:val="20"/>
              </w:rPr>
              <w:t>Before the first use of "Speak", the app shows its own screen explaining that audio will be recorded and transcribed — and only then asks for microphone permission. (line 294)</w:t>
            </w:r>
          </w:p>
        </w:tc>
      </w:tr>
      <w:tr>
        <w:tc>
          <w:tcPr>
            <w:tcW w:type="dxa" w:w="2448"/>
            <w:shd w:val="clear" w:color="auto" w:fill="FBEBE4"/>
          </w:tcPr>
          <w:p>
            <w:r/>
            <w:r>
              <w:rPr>
                <w:b/>
                <w:i w:val="0"/>
                <w:color w:val="E46D46"/>
                <w:sz w:val="20"/>
              </w:rPr>
              <w:t>What the code does</w:t>
            </w:r>
          </w:p>
        </w:tc>
        <w:tc>
          <w:tcPr>
            <w:tcW w:type="dxa" w:w="7056"/>
          </w:tcPr>
          <w:p>
            <w:r/>
            <w:r>
              <w:rPr>
                <w:b w:val="0"/>
                <w:i w:val="0"/>
                <w:sz w:val="20"/>
              </w:rPr>
              <w:t>The moment you tap "Speak", the app goes straight to the phone’s microphone permission pop-up. There’s no in-app explanation screen first.</w:t>
              <w:br/>
              <w:br/>
              <w:t>Code: startVoice() calls Audio.requestPermissionsAsync() directly (line 947) with no preceding explainer. This is the exact "prominent disclosure" Google Play requires.</w:t>
              <w:br/>
              <w:br/>
              <w:t>Side note: the phone’s permission text says the mic is used to "record audio tracks that the app attaches to your creations" (app.json:17) — generic wording that doesn’t mention logging dishes or transcription.</w:t>
            </w:r>
          </w:p>
        </w:tc>
      </w:tr>
      <w:tr>
        <w:tc>
          <w:tcPr>
            <w:tcW w:type="dxa" w:w="2448"/>
            <w:shd w:val="clear" w:color="auto" w:fill="F2F2F2"/>
          </w:tcPr>
          <w:p>
            <w:r/>
            <w:r>
              <w:rPr>
                <w:b/>
                <w:i w:val="0"/>
                <w:color w:val="15140F"/>
                <w:sz w:val="20"/>
              </w:rPr>
              <w:t>Match?</w:t>
            </w:r>
          </w:p>
        </w:tc>
        <w:tc>
          <w:tcPr>
            <w:tcW w:type="dxa" w:w="7056"/>
          </w:tcPr>
          <w:p>
            <w:r/>
            <w:r>
              <w:rPr>
                <w:b w:val="0"/>
                <w:i w:val="0"/>
                <w:sz w:val="20"/>
              </w:rPr>
            </w:r>
            <w:r>
              <w:rPr>
                <w:b/>
                <w:sz w:val="20"/>
              </w:rPr>
              <w:t>❌  No — the explainer step the policy describes doesn’t exist.</w:t>
            </w:r>
          </w:p>
        </w:tc>
      </w:tr>
    </w:tbl>
    <w:p>
      <w:pPr>
        <w:spacing w:after="40"/>
      </w:pPr>
    </w:p>
    <w:p>
      <w:pPr>
        <w:spacing w:before="240" w:after="120"/>
      </w:pPr>
      <w:r>
        <w:rPr>
          <w:b/>
          <w:color w:val="15140F"/>
          <w:sz w:val="24"/>
        </w:rPr>
        <w:t>③  Section 5.1 — what gets sent to OpenAI</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color="auto" w:fill="EFF2EA"/>
          </w:tcPr>
          <w:p>
            <w:r/>
            <w:r>
              <w:rPr>
                <w:b/>
                <w:i w:val="0"/>
                <w:color w:val="546445"/>
                <w:sz w:val="20"/>
              </w:rPr>
              <w:t>Policy says</w:t>
            </w:r>
          </w:p>
        </w:tc>
        <w:tc>
          <w:tcPr>
            <w:tcW w:type="dxa" w:w="7056"/>
          </w:tcPr>
          <w:p>
            <w:r/>
            <w:r>
              <w:rPr>
                <w:b w:val="0"/>
                <w:i w:val="0"/>
                <w:sz w:val="20"/>
              </w:rPr>
              <w:t>Only text (your preferences, prompts, imported recipe text) is sent to OpenAI — "solely" text-based inputs. (line 135)</w:t>
            </w:r>
          </w:p>
        </w:tc>
      </w:tr>
      <w:tr>
        <w:tc>
          <w:tcPr>
            <w:tcW w:type="dxa" w:w="2448"/>
            <w:shd w:val="clear" w:color="auto" w:fill="FBEBE4"/>
          </w:tcPr>
          <w:p>
            <w:r/>
            <w:r>
              <w:rPr>
                <w:b/>
                <w:i w:val="0"/>
                <w:color w:val="E46D46"/>
                <w:sz w:val="20"/>
              </w:rPr>
              <w:t>What the code does</w:t>
            </w:r>
          </w:p>
        </w:tc>
        <w:tc>
          <w:tcPr>
            <w:tcW w:type="dxa" w:w="7056"/>
          </w:tcPr>
          <w:p>
            <w:r/>
            <w:r>
              <w:rPr>
                <w:b w:val="0"/>
                <w:i w:val="0"/>
                <w:sz w:val="20"/>
              </w:rPr>
              <w:t>For the "Speak" feature, the app sends your actual voice recording (an audio file) to OpenAI to be transcribed (openai-transcribe / Whisper). So OpenAI receives audio, not just text.</w:t>
              <w:br/>
              <w:br/>
              <w:t>Code: apiFormCall('openai-transcribe', form) with model: whisper-1 (lines 894–895).</w:t>
            </w:r>
          </w:p>
        </w:tc>
      </w:tr>
      <w:tr>
        <w:tc>
          <w:tcPr>
            <w:tcW w:type="dxa" w:w="2448"/>
            <w:shd w:val="clear" w:color="auto" w:fill="F2F2F2"/>
          </w:tcPr>
          <w:p>
            <w:r/>
            <w:r>
              <w:rPr>
                <w:b/>
                <w:i w:val="0"/>
                <w:color w:val="15140F"/>
                <w:sz w:val="20"/>
              </w:rPr>
              <w:t>Match?</w:t>
            </w:r>
          </w:p>
        </w:tc>
        <w:tc>
          <w:tcPr>
            <w:tcW w:type="dxa" w:w="7056"/>
          </w:tcPr>
          <w:p>
            <w:r/>
            <w:r>
              <w:rPr>
                <w:b w:val="0"/>
                <w:i w:val="0"/>
                <w:sz w:val="20"/>
              </w:rPr>
            </w:r>
            <w:r>
              <w:rPr>
                <w:b/>
                <w:sz w:val="20"/>
              </w:rPr>
              <w:t>❌  No — "solely text-based" is wrong; audio is sent too.</w:t>
            </w:r>
          </w:p>
        </w:tc>
      </w:tr>
    </w:tbl>
    <w:p>
      <w:pPr>
        <w:spacing w:after="40"/>
      </w:pPr>
    </w:p>
    <w:p>
      <w:pPr>
        <w:spacing w:before="240" w:after="120"/>
      </w:pPr>
      <w:r>
        <w:rPr>
          <w:b/>
          <w:color w:val="15140F"/>
          <w:sz w:val="24"/>
        </w:rPr>
        <w:t>④  Section 6 table — OpenAI "Data Transferred" cell</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color="auto" w:fill="EFF2EA"/>
          </w:tcPr>
          <w:p>
            <w:r/>
            <w:r>
              <w:rPr>
                <w:b/>
                <w:i w:val="0"/>
                <w:color w:val="546445"/>
                <w:sz w:val="20"/>
              </w:rPr>
              <w:t>Policy says</w:t>
            </w:r>
          </w:p>
        </w:tc>
        <w:tc>
          <w:tcPr>
            <w:tcW w:type="dxa" w:w="7056"/>
          </w:tcPr>
          <w:p>
            <w:r/>
            <w:r>
              <w:rPr>
                <w:b w:val="0"/>
                <w:i w:val="0"/>
                <w:sz w:val="20"/>
              </w:rPr>
              <w:t>OpenAI receives "Dietary preferences, imported recipe text, prompts." (line 159)</w:t>
            </w:r>
          </w:p>
        </w:tc>
      </w:tr>
      <w:tr>
        <w:tc>
          <w:tcPr>
            <w:tcW w:type="dxa" w:w="2448"/>
            <w:shd w:val="clear" w:color="auto" w:fill="FBEBE4"/>
          </w:tcPr>
          <w:p>
            <w:r/>
            <w:r>
              <w:rPr>
                <w:b/>
                <w:i w:val="0"/>
                <w:color w:val="E46D46"/>
                <w:sz w:val="20"/>
              </w:rPr>
              <w:t>What the code does</w:t>
            </w:r>
          </w:p>
        </w:tc>
        <w:tc>
          <w:tcPr>
            <w:tcW w:type="dxa" w:w="7056"/>
          </w:tcPr>
          <w:p>
            <w:r/>
            <w:r>
              <w:rPr>
                <w:b w:val="0"/>
                <w:i w:val="0"/>
                <w:sz w:val="20"/>
              </w:rPr>
              <w:t>Same as ③ — the app also sends your voice recordings to OpenAI. The table leaves audio off the list, and nowhere in the policy is OpenAI named as the company that receives the audio (it’s only called a generic "transcription sub-processor", e.g. Google Play table line 273).</w:t>
            </w:r>
          </w:p>
        </w:tc>
      </w:tr>
      <w:tr>
        <w:tc>
          <w:tcPr>
            <w:tcW w:type="dxa" w:w="2448"/>
            <w:shd w:val="clear" w:color="auto" w:fill="F2F2F2"/>
          </w:tcPr>
          <w:p>
            <w:r/>
            <w:r>
              <w:rPr>
                <w:b/>
                <w:i w:val="0"/>
                <w:color w:val="15140F"/>
                <w:sz w:val="20"/>
              </w:rPr>
              <w:t>Match?</w:t>
            </w:r>
          </w:p>
        </w:tc>
        <w:tc>
          <w:tcPr>
            <w:tcW w:type="dxa" w:w="7056"/>
          </w:tcPr>
          <w:p>
            <w:r/>
            <w:r>
              <w:rPr>
                <w:b w:val="0"/>
                <w:i w:val="0"/>
                <w:sz w:val="20"/>
              </w:rPr>
            </w:r>
            <w:r>
              <w:rPr>
                <w:b/>
                <w:sz w:val="20"/>
              </w:rPr>
              <w:t>❌  No — voice/audio is missing from OpenAI’s row.</w:t>
            </w:r>
          </w:p>
        </w:tc>
      </w:tr>
    </w:tbl>
    <w:p>
      <w:pPr>
        <w:spacing w:after="40"/>
      </w:pPr>
    </w:p>
    <w:p>
      <w:pPr>
        <w:spacing w:before="240" w:after="120"/>
      </w:pPr>
      <w:r>
        <w:rPr>
          <w:b/>
          <w:color w:val="15140F"/>
          <w:sz w:val="24"/>
        </w:rPr>
        <w:t>⑤  Section 6 table — Pexels "Data Transferred: None"</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color="auto" w:fill="EFF2EA"/>
          </w:tcPr>
          <w:p>
            <w:r/>
            <w:r>
              <w:rPr>
                <w:b/>
                <w:i w:val="0"/>
                <w:color w:val="546445"/>
                <w:sz w:val="20"/>
              </w:rPr>
              <w:t>Policy says</w:t>
            </w:r>
          </w:p>
        </w:tc>
        <w:tc>
          <w:tcPr>
            <w:tcW w:type="dxa" w:w="7056"/>
          </w:tcPr>
          <w:p>
            <w:r/>
            <w:r>
              <w:rPr>
                <w:b w:val="0"/>
                <w:i w:val="0"/>
                <w:sz w:val="20"/>
              </w:rPr>
              <w:t>Pexels receives "None (content delivery only)" — i.e. nothing about you or your recipes. (line 179)</w:t>
            </w:r>
          </w:p>
        </w:tc>
      </w:tr>
      <w:tr>
        <w:tc>
          <w:tcPr>
            <w:tcW w:type="dxa" w:w="2448"/>
            <w:shd w:val="clear" w:color="auto" w:fill="FBEBE4"/>
          </w:tcPr>
          <w:p>
            <w:r/>
            <w:r>
              <w:rPr>
                <w:b/>
                <w:i w:val="0"/>
                <w:color w:val="E46D46"/>
                <w:sz w:val="20"/>
              </w:rPr>
              <w:t>What the code does</w:t>
            </w:r>
          </w:p>
        </w:tc>
        <w:tc>
          <w:tcPr>
            <w:tcW w:type="dxa" w:w="7056"/>
          </w:tcPr>
          <w:p>
            <w:r/>
            <w:r>
              <w:rPr>
                <w:b w:val="0"/>
                <w:i w:val="0"/>
                <w:sz w:val="20"/>
              </w:rPr>
              <w:t>To find a recipe photo, the app sends the recipe’s name/keywords as a search query to Pexels, along with the normal request info (like your IP). So data is sent.</w:t>
              <w:br/>
              <w:br/>
              <w:t>Code: api.pexels.com/v1/search?query=... (openai.ts:3171).</w:t>
              <w:br/>
              <w:br/>
              <w:t>Side note: the default/placeholder photo is loaded from Unsplash (images.unsplash.com, openai.ts:2585), which also receives a request — but Unsplash isn’t listed in the table at all.</w:t>
            </w:r>
          </w:p>
        </w:tc>
      </w:tr>
      <w:tr>
        <w:tc>
          <w:tcPr>
            <w:tcW w:type="dxa" w:w="2448"/>
            <w:shd w:val="clear" w:color="auto" w:fill="F2F2F2"/>
          </w:tcPr>
          <w:p>
            <w:r/>
            <w:r>
              <w:rPr>
                <w:b/>
                <w:i w:val="0"/>
                <w:color w:val="15140F"/>
                <w:sz w:val="20"/>
              </w:rPr>
              <w:t>Match?</w:t>
            </w:r>
          </w:p>
        </w:tc>
        <w:tc>
          <w:tcPr>
            <w:tcW w:type="dxa" w:w="7056"/>
          </w:tcPr>
          <w:p>
            <w:r/>
            <w:r>
              <w:rPr>
                <w:b w:val="0"/>
                <w:i w:val="0"/>
                <w:sz w:val="20"/>
              </w:rPr>
            </w:r>
            <w:r>
              <w:rPr>
                <w:b/>
                <w:sz w:val="20"/>
              </w:rPr>
              <w:t>❌  No — something is transferred, not "None."</w:t>
            </w:r>
          </w:p>
        </w:tc>
      </w:tr>
    </w:tbl>
    <w:p>
      <w:pPr>
        <w:spacing w:after="40"/>
      </w:pPr>
    </w:p>
    <w:p>
      <w:pPr>
        <w:spacing w:before="200" w:after="80"/>
      </w:pPr>
      <w:r>
        <w:rPr>
          <w:b/>
          <w:color w:val="546445"/>
          <w:sz w:val="24"/>
        </w:rPr>
        <w:t>In one line each</w:t>
      </w:r>
    </w:p>
    <w:p>
      <w:pPr>
        <w:pStyle w:val="ListBullet"/>
        <w:spacing w:after="60"/>
      </w:pPr>
      <w:r>
        <w:rPr>
          <w:b/>
          <w:color w:val="E46D46"/>
        </w:rPr>
        <w:t xml:space="preserve">①  </w:t>
      </w:r>
      <w:r>
        <w:rPr>
          <w:sz w:val="20"/>
        </w:rPr>
        <w:t>Policy: audio is deleted.  Code: audio is never deleted.</w:t>
      </w:r>
    </w:p>
    <w:p>
      <w:pPr>
        <w:pStyle w:val="ListBullet"/>
        <w:spacing w:after="60"/>
      </w:pPr>
      <w:r>
        <w:rPr>
          <w:b/>
          <w:color w:val="E46D46"/>
        </w:rPr>
        <w:t xml:space="preserve">②  </w:t>
      </w:r>
      <w:r>
        <w:rPr>
          <w:sz w:val="20"/>
        </w:rPr>
        <w:t>Policy: explains the mic before asking.  Code: asks for the mic with no explanation.</w:t>
      </w:r>
    </w:p>
    <w:p>
      <w:pPr>
        <w:pStyle w:val="ListBullet"/>
        <w:spacing w:after="60"/>
      </w:pPr>
      <w:r>
        <w:rPr>
          <w:b/>
          <w:color w:val="E46D46"/>
        </w:rPr>
        <w:t xml:space="preserve">③  </w:t>
      </w:r>
      <w:r>
        <w:rPr>
          <w:sz w:val="20"/>
        </w:rPr>
        <w:t>Policy: only text goes to OpenAI.  Code: voice recordings go to OpenAI too.</w:t>
      </w:r>
    </w:p>
    <w:p>
      <w:pPr>
        <w:pStyle w:val="ListBullet"/>
        <w:spacing w:after="60"/>
      </w:pPr>
      <w:r>
        <w:rPr>
          <w:b/>
          <w:color w:val="E46D46"/>
        </w:rPr>
        <w:t xml:space="preserve">④  </w:t>
      </w:r>
      <w:r>
        <w:rPr>
          <w:sz w:val="20"/>
        </w:rPr>
        <w:t>Policy: OpenAI’s list is text-only.  Code: audio is also sent, and OpenAI isn’t named as the transcriber.</w:t>
      </w:r>
    </w:p>
    <w:p>
      <w:pPr>
        <w:pStyle w:val="ListBullet"/>
        <w:spacing w:after="60"/>
      </w:pPr>
      <w:r>
        <w:rPr>
          <w:b/>
          <w:color w:val="E46D46"/>
        </w:rPr>
        <w:t xml:space="preserve">⑤  </w:t>
      </w:r>
      <w:r>
        <w:rPr>
          <w:sz w:val="20"/>
        </w:rPr>
        <w:t>Policy: nothing sent to Pexels.  Code: the recipe name is sent to Pexels (and Unsplash isn’t listed).</w:t>
      </w:r>
    </w:p>
    <w:p>
      <w:r>
        <w:br w:type="page"/>
      </w:r>
    </w:p>
    <w:p>
      <w:pPr>
        <w:spacing w:before="280" w:after="80"/>
      </w:pPr>
      <w:r>
        <w:rPr>
          <w:b/>
          <w:color w:val="E46D46"/>
          <w:sz w:val="28"/>
        </w:rPr>
        <w:t>Part B — Clauses that omit an active processor / SDK (Firebase / Google Analytics + Expo)</w:t>
      </w:r>
    </w:p>
    <w:p>
      <w:pPr>
        <w:spacing w:after="160" w:before="0"/>
      </w:pPr>
      <w:r>
        <w:rPr>
          <w:b w:val="0"/>
          <w:i w:val="0"/>
          <w:color w:val="15140F"/>
          <w:sz w:val="21"/>
        </w:rPr>
        <w:t>The app ships @react-native-firebase/analytics and fires conversion events to it via firebaseSink in src/lib/analytics.ts (with setFirebaseUserId). It also sends Expo push tokens through Expo’s push service. Every clause below lists the processors/SDKs the app uses — and leaves both of these out.</w:t>
      </w:r>
    </w:p>
    <w:tbl>
      <w:tblPr>
        <w:tblStyle w:val="TableGrid"/>
        <w:tblW w:type="auto" w:w="0"/>
        <w:tblLook w:firstColumn="1" w:firstRow="1" w:lastColumn="0" w:lastRow="0" w:noHBand="0" w:noVBand="1" w:val="04A0"/>
      </w:tblPr>
      <w:tblGrid>
        <w:gridCol w:w="2880"/>
        <w:gridCol w:w="2880"/>
        <w:gridCol w:w="2880"/>
      </w:tblGrid>
      <w:tr>
        <w:tc>
          <w:tcPr>
            <w:tcW w:type="dxa" w:w="2736"/>
            <w:shd w:val="clear" w:color="auto" w:fill="546445"/>
          </w:tcPr>
          <w:p>
            <w:r/>
            <w:r>
              <w:rPr>
                <w:b/>
                <w:i w:val="0"/>
                <w:color w:val="FFFFFF"/>
                <w:sz w:val="20"/>
              </w:rPr>
              <w:t>Clause</w:t>
            </w:r>
          </w:p>
        </w:tc>
        <w:tc>
          <w:tcPr>
            <w:tcW w:type="dxa" w:w="4608"/>
            <w:shd w:val="clear" w:color="auto" w:fill="546445"/>
          </w:tcPr>
          <w:p>
            <w:r/>
            <w:r>
              <w:rPr>
                <w:b/>
                <w:i w:val="0"/>
                <w:color w:val="FFFFFF"/>
                <w:sz w:val="20"/>
              </w:rPr>
              <w:t>Quote from policy</w:t>
            </w:r>
          </w:p>
        </w:tc>
        <w:tc>
          <w:tcPr>
            <w:tcW w:type="dxa" w:w="2736"/>
            <w:shd w:val="clear" w:color="auto" w:fill="546445"/>
          </w:tcPr>
          <w:p>
            <w:r/>
            <w:r>
              <w:rPr>
                <w:b/>
                <w:i w:val="0"/>
                <w:color w:val="FFFFFF"/>
                <w:sz w:val="20"/>
              </w:rPr>
              <w:t>Missing from the clause</w:t>
            </w:r>
          </w:p>
        </w:tc>
      </w:tr>
      <w:tr>
        <w:tc>
          <w:tcPr>
            <w:tcW w:type="dxa" w:w="2736"/>
          </w:tcPr>
          <w:p>
            <w:r/>
            <w:r>
              <w:rPr>
                <w:b/>
                <w:i w:val="0"/>
                <w:sz w:val="19"/>
              </w:rPr>
              <w:t>§6 Google row (line 186–190)</w:t>
            </w:r>
          </w:p>
        </w:tc>
        <w:tc>
          <w:tcPr>
            <w:tcW w:type="dxa" w:w="4608"/>
          </w:tcPr>
          <w:p>
            <w:r/>
            <w:r>
              <w:rPr>
                <w:b w:val="0"/>
                <w:i/>
                <w:color w:val="555555"/>
                <w:sz w:val="19"/>
              </w:rPr>
              <w:t>Google LLC … Activity: "Platform, Google Sign-In, payments, distribution"</w:t>
            </w:r>
          </w:p>
        </w:tc>
        <w:tc>
          <w:tcPr>
            <w:tcW w:type="dxa" w:w="2736"/>
          </w:tcPr>
          <w:p>
            <w:r/>
            <w:r>
              <w:rPr>
                <w:b w:val="0"/>
                <w:i w:val="0"/>
                <w:sz w:val="19"/>
              </w:rPr>
              <w:t>No Firebase Analytics activity/data listed</w:t>
            </w:r>
          </w:p>
        </w:tc>
      </w:tr>
      <w:tr>
        <w:tc>
          <w:tcPr>
            <w:tcW w:type="dxa" w:w="2736"/>
          </w:tcPr>
          <w:p>
            <w:r/>
            <w:r>
              <w:rPr>
                <w:b/>
                <w:i w:val="0"/>
                <w:sz w:val="19"/>
              </w:rPr>
              <w:t>§8 (line 201)</w:t>
            </w:r>
          </w:p>
        </w:tc>
        <w:tc>
          <w:tcPr>
            <w:tcW w:type="dxa" w:w="4608"/>
          </w:tcPr>
          <w:p>
            <w:r/>
            <w:r>
              <w:rPr>
                <w:b w:val="0"/>
                <w:i/>
                <w:color w:val="555555"/>
                <w:sz w:val="19"/>
              </w:rPr>
              <w:t>"we embed the PostHog SDK … and the Meta SDK …"</w:t>
            </w:r>
          </w:p>
        </w:tc>
        <w:tc>
          <w:tcPr>
            <w:tcW w:type="dxa" w:w="2736"/>
          </w:tcPr>
          <w:p>
            <w:r/>
            <w:r>
              <w:rPr>
                <w:b w:val="0"/>
                <w:i w:val="0"/>
                <w:sz w:val="19"/>
              </w:rPr>
              <w:t>Firebase Analytics SDK not named</w:t>
            </w:r>
          </w:p>
        </w:tc>
      </w:tr>
      <w:tr>
        <w:tc>
          <w:tcPr>
            <w:tcW w:type="dxa" w:w="2736"/>
          </w:tcPr>
          <w:p>
            <w:r/>
            <w:r>
              <w:rPr>
                <w:b/>
                <w:i w:val="0"/>
                <w:sz w:val="19"/>
              </w:rPr>
              <w:t>§11 (line 223)</w:t>
            </w:r>
          </w:p>
        </w:tc>
        <w:tc>
          <w:tcPr>
            <w:tcW w:type="dxa" w:w="4608"/>
          </w:tcPr>
          <w:p>
            <w:r/>
            <w:r>
              <w:rPr>
                <w:b w:val="0"/>
                <w:i/>
                <w:color w:val="555555"/>
                <w:sz w:val="19"/>
              </w:rPr>
              <w:t>"sub-processors (Supabase, OpenAI, RevenueCat, PostHog, Meta)"</w:t>
            </w:r>
          </w:p>
        </w:tc>
        <w:tc>
          <w:tcPr>
            <w:tcW w:type="dxa" w:w="2736"/>
          </w:tcPr>
          <w:p>
            <w:r/>
            <w:r>
              <w:rPr>
                <w:b w:val="0"/>
                <w:i w:val="0"/>
                <w:sz w:val="19"/>
              </w:rPr>
              <w:t>Google/Firebase, Expo</w:t>
            </w:r>
          </w:p>
        </w:tc>
      </w:tr>
      <w:tr>
        <w:tc>
          <w:tcPr>
            <w:tcW w:type="dxa" w:w="2736"/>
          </w:tcPr>
          <w:p>
            <w:r/>
            <w:r>
              <w:rPr>
                <w:b/>
                <w:i w:val="0"/>
                <w:sz w:val="19"/>
              </w:rPr>
              <w:t>Sch.1 §1.5 (line 307)</w:t>
            </w:r>
          </w:p>
        </w:tc>
        <w:tc>
          <w:tcPr>
            <w:tcW w:type="dxa" w:w="4608"/>
          </w:tcPr>
          <w:p>
            <w:r/>
            <w:r>
              <w:rPr>
                <w:b w:val="0"/>
                <w:i/>
                <w:color w:val="555555"/>
                <w:sz w:val="19"/>
              </w:rPr>
              <w:t>"Because Supabase, OpenAI, RevenueCat, PostHog, and Meta process data…"</w:t>
            </w:r>
          </w:p>
        </w:tc>
        <w:tc>
          <w:tcPr>
            <w:tcW w:type="dxa" w:w="2736"/>
          </w:tcPr>
          <w:p>
            <w:r/>
            <w:r>
              <w:rPr>
                <w:b w:val="0"/>
                <w:i w:val="0"/>
                <w:sz w:val="19"/>
              </w:rPr>
              <w:t>Google/Firebase, Expo</w:t>
            </w:r>
          </w:p>
        </w:tc>
      </w:tr>
      <w:tr>
        <w:tc>
          <w:tcPr>
            <w:tcW w:type="dxa" w:w="2736"/>
          </w:tcPr>
          <w:p>
            <w:r/>
            <w:r>
              <w:rPr>
                <w:b/>
                <w:i w:val="0"/>
                <w:sz w:val="19"/>
              </w:rPr>
              <w:t>Sch.2 §2.4 (line 329)</w:t>
            </w:r>
          </w:p>
        </w:tc>
        <w:tc>
          <w:tcPr>
            <w:tcW w:type="dxa" w:w="4608"/>
          </w:tcPr>
          <w:p>
            <w:r/>
            <w:r>
              <w:rPr>
                <w:b w:val="0"/>
                <w:i/>
                <w:color w:val="555555"/>
                <w:sz w:val="19"/>
              </w:rPr>
              <w:t>"Transfers to sub-processors … (Supabase, OpenAI, RevenueCat, PostHog, Meta)"</w:t>
            </w:r>
          </w:p>
        </w:tc>
        <w:tc>
          <w:tcPr>
            <w:tcW w:type="dxa" w:w="2736"/>
          </w:tcPr>
          <w:p>
            <w:r/>
            <w:r>
              <w:rPr>
                <w:b w:val="0"/>
                <w:i w:val="0"/>
                <w:sz w:val="19"/>
              </w:rPr>
              <w:t>Google/Firebase, Expo</w:t>
            </w:r>
          </w:p>
        </w:tc>
      </w:tr>
      <w:tr>
        <w:tc>
          <w:tcPr>
            <w:tcW w:type="dxa" w:w="2736"/>
          </w:tcPr>
          <w:p>
            <w:r/>
            <w:r>
              <w:rPr>
                <w:b/>
                <w:i w:val="0"/>
                <w:sz w:val="19"/>
              </w:rPr>
              <w:t>Part II §2.1 Data Safety (line 281–283)</w:t>
            </w:r>
          </w:p>
        </w:tc>
        <w:tc>
          <w:tcPr>
            <w:tcW w:type="dxa" w:w="4608"/>
          </w:tcPr>
          <w:p>
            <w:r/>
            <w:r>
              <w:rPr>
                <w:b w:val="0"/>
                <w:i/>
                <w:color w:val="555555"/>
                <w:sz w:val="19"/>
              </w:rPr>
              <w:t>"App Activity / Technical … Shared … Yes (PostHog, Meta)"</w:t>
            </w:r>
          </w:p>
        </w:tc>
        <w:tc>
          <w:tcPr>
            <w:tcW w:type="dxa" w:w="2736"/>
          </w:tcPr>
          <w:p>
            <w:r/>
            <w:r>
              <w:rPr>
                <w:b w:val="0"/>
                <w:i w:val="0"/>
                <w:sz w:val="19"/>
              </w:rPr>
              <w:t>Firebase/Google Analytics — a Data Safety declaration gap</w:t>
            </w:r>
          </w:p>
        </w:tc>
      </w:tr>
      <w:tr>
        <w:tc>
          <w:tcPr>
            <w:tcW w:type="dxa" w:w="2736"/>
          </w:tcPr>
          <w:p>
            <w:r/>
            <w:r>
              <w:rPr>
                <w:b/>
                <w:i w:val="0"/>
                <w:sz w:val="19"/>
              </w:rPr>
              <w:t>§6 matrix (whole)</w:t>
            </w:r>
          </w:p>
        </w:tc>
        <w:tc>
          <w:tcPr>
            <w:tcW w:type="dxa" w:w="4608"/>
          </w:tcPr>
          <w:p>
            <w:r/>
            <w:r>
              <w:rPr>
                <w:b w:val="0"/>
                <w:i/>
                <w:color w:val="555555"/>
                <w:sz w:val="19"/>
              </w:rPr>
              <w:t>—</w:t>
            </w:r>
          </w:p>
        </w:tc>
        <w:tc>
          <w:tcPr>
            <w:tcW w:type="dxa" w:w="2736"/>
          </w:tcPr>
          <w:p>
            <w:r/>
            <w:r>
              <w:rPr>
                <w:b w:val="0"/>
                <w:i w:val="0"/>
                <w:sz w:val="19"/>
              </w:rPr>
              <w:t>No rows for Firebase Analytics or Expo push at all</w:t>
            </w:r>
          </w:p>
        </w:tc>
      </w:tr>
    </w:tbl>
    <w:p>
      <w:pPr>
        <w:spacing w:after="120" w:before="200"/>
      </w:pPr>
      <w:r>
        <w:rPr>
          <w:b w:val="0"/>
          <w:i w:val="0"/>
          <w:color w:val="15140F"/>
          <w:sz w:val="21"/>
        </w:rPr>
        <w:t>In plain language: the app quietly uses Google’s Firebase Analytics (it sends sign-up, onboarding, meal-plan and purchase events, tied to a user ID) and routes push-notification tokens through Expo’s servers. Neither company is named anywhere in the policy’s processor list or in the Google Play Data Safety declaration — so users aren’t told these two third parties receive their data.</w:t>
      </w:r>
    </w:p>
    <w:p>
      <w:r>
        <w:br w:type="page"/>
      </w:r>
    </w:p>
    <w:p>
      <w:pPr>
        <w:spacing w:before="280" w:after="80"/>
      </w:pPr>
      <w:r>
        <w:rPr>
          <w:b/>
          <w:color w:val="C98A00"/>
          <w:sz w:val="28"/>
        </w:rPr>
        <w:t>Part C — Clauses that are right in substance but overstated in wording</w:t>
      </w:r>
    </w:p>
    <w:p>
      <w:pPr>
        <w:spacing w:after="160" w:before="0"/>
      </w:pPr>
      <w:r>
        <w:rPr>
          <w:b w:val="0"/>
          <w:i/>
          <w:color w:val="555555"/>
          <w:sz w:val="19"/>
        </w:rPr>
        <w:t>These aren’t contradictions — the feature the policy promises does exist and works. But the exact wording describes it more strongly than the app actually does, so the text should be softened to match reality.</w:t>
      </w:r>
    </w:p>
    <w:p>
      <w:pPr>
        <w:spacing w:before="240" w:after="120"/>
      </w:pPr>
      <w:r>
        <w:rPr>
          <w:b/>
          <w:color w:val="15140F"/>
          <w:sz w:val="24"/>
        </w:rPr>
        <w:t>⑥  Section 3.3 — "a dedicated consent screen"</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color="auto" w:fill="EFF2EA"/>
          </w:tcPr>
          <w:p>
            <w:r/>
            <w:r>
              <w:rPr>
                <w:b/>
                <w:i w:val="0"/>
                <w:color w:val="546445"/>
                <w:sz w:val="20"/>
              </w:rPr>
              <w:t>Policy says</w:t>
            </w:r>
          </w:p>
        </w:tc>
        <w:tc>
          <w:tcPr>
            <w:tcW w:type="dxa" w:w="7056"/>
          </w:tcPr>
          <w:p>
            <w:r/>
            <w:r>
              <w:rPr>
                <w:b w:val="0"/>
                <w:i w:val="0"/>
                <w:sz w:val="20"/>
              </w:rPr>
              <w:t>Health/dietary data is collected "only after you provide explicit, standalone, opt-in consent through a dedicated consent screen — separate from your acceptance of this Policy or the Terms of Service." (line 88)</w:t>
            </w:r>
          </w:p>
        </w:tc>
      </w:tr>
      <w:tr>
        <w:tc>
          <w:tcPr>
            <w:tcW w:type="dxa" w:w="2448"/>
            <w:shd w:val="clear" w:color="auto" w:fill="FBEBE4"/>
          </w:tcPr>
          <w:p>
            <w:r/>
            <w:r>
              <w:rPr>
                <w:b/>
                <w:i w:val="0"/>
                <w:color w:val="E46D46"/>
                <w:sz w:val="20"/>
              </w:rPr>
              <w:t>What the code does</w:t>
            </w:r>
          </w:p>
        </w:tc>
        <w:tc>
          <w:tcPr>
            <w:tcW w:type="dxa" w:w="7056"/>
          </w:tcPr>
          <w:p>
            <w:r/>
            <w:r>
              <w:rPr>
                <w:b w:val="0"/>
                <w:i w:val="0"/>
                <w:sz w:val="20"/>
              </w:rPr>
              <w:t>The consent does exist and works: when you pick a diet or allergy during onboarding, a consent toggle appears and the app records the exact time you agreed. But it is a toggle inside the onboarding flow, not a separate "screen" of its own.</w:t>
              <w:br/>
              <w:br/>
              <w:t>Code: onboarding.tsx — dietaryDataConsentAt is set (timestamp) and sensitive data is only saved once that consent toggle is on (around lines 1156, 1883).</w:t>
              <w:br/>
              <w:br/>
              <w:t>Good to know: the "separate toggle" wording used elsewhere (Washington §3.2.2, India §4.2) is actually accurate to the code — it’s only the word "screen" in §3.3 that overstates it.</w:t>
            </w:r>
          </w:p>
        </w:tc>
      </w:tr>
      <w:tr>
        <w:tc>
          <w:tcPr>
            <w:tcW w:type="dxa" w:w="2448"/>
            <w:shd w:val="clear" w:color="auto" w:fill="FCF4DD"/>
          </w:tcPr>
          <w:p>
            <w:r/>
            <w:r>
              <w:rPr>
                <w:b/>
                <w:i w:val="0"/>
                <w:color w:val="15140F"/>
                <w:sz w:val="20"/>
              </w:rPr>
              <w:t>Match?</w:t>
            </w:r>
          </w:p>
        </w:tc>
        <w:tc>
          <w:tcPr>
            <w:tcW w:type="dxa" w:w="7056"/>
          </w:tcPr>
          <w:p>
            <w:r/>
            <w:r>
              <w:rPr>
                <w:b w:val="0"/>
                <w:i w:val="0"/>
                <w:sz w:val="20"/>
              </w:rPr>
            </w:r>
            <w:r>
              <w:rPr>
                <w:b/>
                <w:sz w:val="20"/>
              </w:rPr>
              <w:t>⚠  Partial — the consent is real and standalone, but it’s a toggle, not a separate screen. Suggest: change "dedicated consent screen" to "dedicated consent step."</w:t>
            </w:r>
          </w:p>
        </w:tc>
      </w:tr>
    </w:tbl>
    <w:p>
      <w:pPr>
        <w:spacing w:after="40"/>
      </w:pPr>
    </w:p>
    <w:p>
      <w:pPr>
        <w:spacing w:before="240" w:after="120"/>
      </w:pPr>
      <w:r>
        <w:rPr>
          <w:b/>
          <w:color w:val="15140F"/>
          <w:sz w:val="24"/>
        </w:rPr>
        <w:t>⑦  Sections 9.3 &amp; Part II §1.1 — the account-deletion path</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color="auto" w:fill="EFF2EA"/>
          </w:tcPr>
          <w:p>
            <w:r/>
            <w:r>
              <w:rPr>
                <w:b/>
                <w:i w:val="0"/>
                <w:color w:val="546445"/>
                <w:sz w:val="20"/>
              </w:rPr>
              <w:t>Policy says</w:t>
            </w:r>
          </w:p>
        </w:tc>
        <w:tc>
          <w:tcPr>
            <w:tcW w:type="dxa" w:w="7056"/>
          </w:tcPr>
          <w:p>
            <w:r/>
            <w:r>
              <w:rPr>
                <w:b w:val="0"/>
                <w:i w:val="0"/>
                <w:sz w:val="20"/>
              </w:rPr>
              <w:t>You can delete your account "via App &gt; Profile &gt; Account Settings &gt; Delete Account" — self-service, no need to contact support (lines 211, 241; also cited for Apple Guideline 5.1.1(v)).</w:t>
            </w:r>
          </w:p>
        </w:tc>
      </w:tr>
      <w:tr>
        <w:tc>
          <w:tcPr>
            <w:tcW w:type="dxa" w:w="2448"/>
            <w:shd w:val="clear" w:color="auto" w:fill="FBEBE4"/>
          </w:tcPr>
          <w:p>
            <w:r/>
            <w:r>
              <w:rPr>
                <w:b/>
                <w:i w:val="0"/>
                <w:color w:val="E46D46"/>
                <w:sz w:val="20"/>
              </w:rPr>
              <w:t>What the code does</w:t>
            </w:r>
          </w:p>
        </w:tc>
        <w:tc>
          <w:tcPr>
            <w:tcW w:type="dxa" w:w="7056"/>
          </w:tcPr>
          <w:p>
            <w:r/>
            <w:r>
              <w:rPr>
                <w:b w:val="0"/>
                <w:i w:val="0"/>
                <w:sz w:val="20"/>
              </w:rPr>
              <w:t>Self-service deletion does exist and works — it fully deletes the account, no support contact needed. But it lives on the Preferences tab and opens a confirmation pop-up; there is no "Account Settings" sub-page in the path.</w:t>
              <w:br/>
              <w:br/>
              <w:t>Code: preferences.tsx — the Delete option (line 2046) triggers deleteAccount() via the AccountManagementModal.</w:t>
            </w:r>
          </w:p>
        </w:tc>
      </w:tr>
      <w:tr>
        <w:tc>
          <w:tcPr>
            <w:tcW w:type="dxa" w:w="2448"/>
            <w:shd w:val="clear" w:color="auto" w:fill="FCF4DD"/>
          </w:tcPr>
          <w:p>
            <w:r/>
            <w:r>
              <w:rPr>
                <w:b/>
                <w:i w:val="0"/>
                <w:color w:val="15140F"/>
                <w:sz w:val="20"/>
              </w:rPr>
              <w:t>Match?</w:t>
            </w:r>
          </w:p>
        </w:tc>
        <w:tc>
          <w:tcPr>
            <w:tcW w:type="dxa" w:w="7056"/>
          </w:tcPr>
          <w:p>
            <w:r/>
            <w:r>
              <w:rPr>
                <w:b w:val="0"/>
                <w:i w:val="0"/>
                <w:sz w:val="20"/>
              </w:rPr>
            </w:r>
            <w:r>
              <w:rPr>
                <w:b/>
                <w:sz w:val="20"/>
              </w:rPr>
              <w:t>⚠  Partial — the deletion mechanism satisfies Apple/Google, but the exact navigation text is wrong. Suggest: update the path wording to match the real location (Preferences → Delete Account).</w:t>
            </w:r>
          </w:p>
        </w:tc>
      </w:tr>
    </w:tbl>
    <w:p>
      <w:pPr>
        <w:spacing w:after="40"/>
      </w:pPr>
    </w:p>
    <w:p>
      <w:pPr>
        <w:spacing w:after="120" w:before="160"/>
      </w:pPr>
      <w:r>
        <w:rPr>
          <w:b w:val="0"/>
          <w:i/>
          <w:color w:val="555555"/>
          <w:sz w:val="19"/>
        </w:rPr>
        <w:t>Also verified as fully accurate (no change needed): the App Tracking Transparency prompt gating Meta (meta-sdk.ts), "no card data" for payments (RevenueCat entitlements only), and "we don’t link health/diet data to ad identifiers." These claims match the code.</w:t>
      </w:r>
    </w:p>
    <w:p>
      <w:pPr>
        <w:spacing w:after="80"/>
      </w:pPr>
    </w:p>
    <w:p>
      <w:r>
        <w:rPr>
          <w:i/>
          <w:color w:val="555555"/>
          <w:sz w:val="17"/>
        </w:rPr>
        <w:t>Disclaimer: This document compares the wording of the Privacy Policy against the behaviour of the current app code. It is a technical accuracy check, not legal advice. Line numbers refer to the reviewed policy draft; file/line references refer to the mobile app source. Have privacy counsel confirm the fixes (policy wording changes and/or code changes) before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14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