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Website Copy — 2026</w:t>
      </w:r>
    </w:p>
    <w:p>
      <w:pPr>
        <w:pStyle w:val="Heading1"/>
      </w:pPr>
      <w:r>
        <w:t>Hero Headline</w:t>
      </w:r>
    </w:p>
    <w:p>
      <w:r>
        <w:t>Building the Commercial Layer of Physical AI</w:t>
      </w:r>
    </w:p>
    <w:p>
      <w:pPr>
        <w:pStyle w:val="Heading1"/>
      </w:pPr>
      <w:r>
        <w:t>Hero Subheadline</w:t>
      </w:r>
    </w:p>
    <w:p>
      <w:r>
        <w:t>Muhammad Yunas helps industrial AI and autonomy companies transform technically sophisticated platforms into scalable enterprise revenue systems.</w:t>
      </w:r>
    </w:p>
    <w:p>
      <w:pPr>
        <w:pStyle w:val="Heading1"/>
      </w:pPr>
      <w:r>
        <w:t>Market Thesis</w:t>
      </w:r>
    </w:p>
    <w:p>
      <w:r>
        <w:t>Physical AI is not another software category. It is the convergence of industrial infrastructure, autonomous systems, edge intelligence, and machine-speed operational decision-making.</w:t>
      </w:r>
    </w:p>
    <w:p>
      <w:pPr>
        <w:pStyle w:val="Heading1"/>
      </w:pPr>
      <w:r>
        <w:t>Strategic Positioning</w:t>
      </w:r>
    </w:p>
    <w:p>
      <w:r>
        <w:t>Commercial strategy for OT-constrained enterprise environments where reliability matters more than hype.</w:t>
      </w:r>
    </w:p>
    <w:p>
      <w:pPr>
        <w:pStyle w:val="Heading1"/>
      </w:pPr>
      <w:r>
        <w:t>Frameworks</w:t>
      </w:r>
    </w:p>
    <w:p>
      <w:r>
        <w:t>The Physical AI Commercialization Stack | OT/IT Buyer Alignment Model | Industrial AI Trust Curve</w:t>
      </w:r>
    </w:p>
    <w:p>
      <w:pPr>
        <w:pStyle w:val="Heading1"/>
      </w:pPr>
      <w:r>
        <w:t>Speaking &amp; Advisory</w:t>
      </w:r>
    </w:p>
    <w:p>
      <w:r>
        <w:t>Available for executive keynotes, advisory engagements, GTM strategy sessions, and board-level commercialization discussions.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