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Quality-control and quality-assessment of a metabolomics data repository.</w:t>
      </w:r>
    </w:p>
    <w:p>
      <w:pPr>
        <w:pStyle w:val="Author"/>
      </w:pPr>
      <w:r>
        <w:t xml:space="preserve">Robert M Flight, P Travis Thompson, Hunter NB Moseley</w:t>
      </w:r>
    </w:p>
    <w:p>
      <w:pPr>
        <w:pStyle w:val="Date"/>
      </w:pPr>
      <w:r>
        <w:t xml:space="preserve">2026-07-08</w:t>
      </w:r>
    </w:p>
    <w:bookmarkStart w:id="20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Depositing processed and ideally raw -omics data in a data repository has become the norm in genomics, transcriptomics and metabolomics, and is frequently required for publication and by grant funders.</w:t>
      </w:r>
      <w:r>
        <w:t xml:space="preserve"> </w:t>
      </w:r>
      <w:r>
        <w:t xml:space="preserve">However, no repository wide assessment of data quality has ever been carried out.</w:t>
      </w:r>
      <w:r>
        <w:t xml:space="preserve"> </w:t>
      </w:r>
      <w:r>
        <w:t xml:space="preserve">Our previous experience in working with the Metabolomics Workbench data, as well as in analyzing a variety of transcriptomics and metabolomics datasets, makes us well suited to attempt a repository wide assessment of the analyses available in the Metabolomics Workbench.</w:t>
      </w:r>
    </w:p>
    <w:bookmarkEnd w:id="20"/>
    <w:bookmarkStart w:id="21" w:name="methods"/>
    <w:p>
      <w:pPr>
        <w:pStyle w:val="Heading2"/>
      </w:pPr>
      <w:r>
        <w:t xml:space="preserve">Methods</w:t>
      </w:r>
    </w:p>
    <w:p>
      <w:pPr>
        <w:pStyle w:val="FirstParagraph"/>
      </w:pPr>
      <w:r>
        <w:t xml:space="preserve">6105 analyses were downloaded from the Metabolomics Workbench in November of 2025, as well as any ancillary data files (available as STUDYID_ANALYSISID.txt if present).</w:t>
      </w:r>
      <w:r>
        <w:t xml:space="preserve"> </w:t>
      </w:r>
      <w:r>
        <w:t xml:space="preserve">Minor repairs to downloaded files were made to make them more amenable to analysis.</w:t>
      </w:r>
      <w:r>
        <w:t xml:space="preserve"> </w:t>
      </w:r>
      <w:r>
        <w:t xml:space="preserve">The MWTAB JSON file format was used as it made parsing the files easier to implement.</w:t>
      </w:r>
    </w:p>
    <w:p>
      <w:pPr>
        <w:pStyle w:val="BodyText"/>
      </w:pPr>
      <w:r>
        <w:t xml:space="preserve">For each analysis, we attempted to:</w:t>
      </w:r>
    </w:p>
    <w:p>
      <w:pPr>
        <w:pStyle w:val="Compact"/>
        <w:numPr>
          <w:ilvl w:val="0"/>
          <w:numId w:val="1001"/>
        </w:numPr>
      </w:pPr>
      <w:r>
        <w:t xml:space="preserve">convert it to a summarized experiment object holding abundances and sample metadata;</w:t>
      </w:r>
    </w:p>
    <w:p>
      <w:pPr>
        <w:pStyle w:val="Compact"/>
        <w:numPr>
          <w:ilvl w:val="0"/>
          <w:numId w:val="1001"/>
        </w:numPr>
      </w:pPr>
      <w:r>
        <w:t xml:space="preserve">detect if any quality-control samples are included in the sample list;</w:t>
      </w:r>
    </w:p>
    <w:p>
      <w:pPr>
        <w:pStyle w:val="Compact"/>
        <w:numPr>
          <w:ilvl w:val="0"/>
          <w:numId w:val="1001"/>
        </w:numPr>
      </w:pPr>
      <w:r>
        <w:t xml:space="preserve">evaluate if the data were already log-transformed and needed to be exponentiated;</w:t>
      </w:r>
    </w:p>
    <w:p>
      <w:pPr>
        <w:pStyle w:val="Compact"/>
        <w:numPr>
          <w:ilvl w:val="0"/>
          <w:numId w:val="1001"/>
        </w:numPr>
      </w:pPr>
      <w:r>
        <w:t xml:space="preserve">count the number of metabolite features and useable samples in each group of subject-sample-factors (SSF);</w:t>
      </w:r>
    </w:p>
    <w:p>
      <w:pPr>
        <w:pStyle w:val="Compact"/>
        <w:numPr>
          <w:ilvl w:val="0"/>
          <w:numId w:val="1001"/>
        </w:numPr>
      </w:pPr>
      <w:r>
        <w:t xml:space="preserve">calculate information-content-informed Kendall-</w:t>
      </w:r>
      <m:oMath>
        <m:r>
          <m:t>τ</m:t>
        </m:r>
      </m:oMath>
      <w:r>
        <w:t xml:space="preserve"> </w:t>
      </w:r>
      <w:r>
        <w:t xml:space="preserve">(ICI-Kt) correlation between all samples;</w:t>
      </w:r>
    </w:p>
    <w:p>
      <w:pPr>
        <w:pStyle w:val="Compact"/>
        <w:numPr>
          <w:ilvl w:val="0"/>
          <w:numId w:val="1001"/>
        </w:numPr>
      </w:pPr>
      <w:r>
        <w:t xml:space="preserve">calculate the relative standard deviations (RSD) of metabolite features within each SSF group;</w:t>
      </w:r>
    </w:p>
    <w:p>
      <w:pPr>
        <w:pStyle w:val="Compact"/>
        <w:numPr>
          <w:ilvl w:val="0"/>
          <w:numId w:val="1001"/>
        </w:numPr>
      </w:pPr>
      <w:r>
        <w:t xml:space="preserve">perform principal component analysis (PCA) and calculate an analysis of variance (ANOVA) of the sample principal component scores and SSF groups.</w:t>
      </w:r>
    </w:p>
    <w:p>
      <w:pPr>
        <w:pStyle w:val="FirstParagraph"/>
      </w:pPr>
      <w:r>
        <w:t xml:space="preserve">For each of the results of each step, we also attempt to assign a color grade indicating</w:t>
      </w:r>
      <w:r>
        <w:t xml:space="preserve"> </w:t>
      </w:r>
      <w:r>
        <w:rPr>
          <w:b/>
          <w:bCs/>
        </w:rPr>
        <w:t xml:space="preserve">possible</w:t>
      </w:r>
      <w:r>
        <w:t xml:space="preserve"> </w:t>
      </w:r>
      <w:r>
        <w:t xml:space="preserve">quality-control and quality-assurance (QC/QA) concerns for a given analysis, providing a score of</w:t>
      </w:r>
      <w:r>
        <w:t xml:space="preserve"> </w:t>
      </w:r>
      <w:r>
        <w:t xml:space="preserve">“red”</w:t>
      </w:r>
      <w:r>
        <w:t xml:space="preserve"> </w:t>
      </w:r>
      <w:r>
        <w:t xml:space="preserve">(think twice before using),</w:t>
      </w:r>
      <w:r>
        <w:t xml:space="preserve"> </w:t>
      </w:r>
      <w:r>
        <w:t xml:space="preserve">“yellow”</w:t>
      </w:r>
      <w:r>
        <w:t xml:space="preserve"> </w:t>
      </w:r>
      <w:r>
        <w:t xml:space="preserve">(probably OK), and</w:t>
      </w:r>
      <w:r>
        <w:t xml:space="preserve"> </w:t>
      </w:r>
      <w:r>
        <w:t xml:space="preserve">“green”</w:t>
      </w:r>
      <w:r>
        <w:t xml:space="preserve"> </w:t>
      </w:r>
      <w:r>
        <w:t xml:space="preserve">(looks good).</w:t>
      </w:r>
    </w:p>
    <w:bookmarkEnd w:id="21"/>
    <w:bookmarkStart w:id="22" w:name="results"/>
    <w:p>
      <w:pPr>
        <w:pStyle w:val="Heading2"/>
      </w:pPr>
      <w:r>
        <w:t xml:space="preserve">Results</w:t>
      </w:r>
    </w:p>
    <w:p>
      <w:pPr>
        <w:pStyle w:val="FirstParagraph"/>
      </w:pPr>
      <w:r>
        <w:t xml:space="preserve">Of the 6103 analyses that could be reasonable parsed, 5375 (88%) were able to go through all the steps to PCA.</w:t>
      </w:r>
      <w:r>
        <w:t xml:space="preserve"> </w:t>
      </w:r>
      <w:r>
        <w:t xml:space="preserve">Of those xxx had a status of</w:t>
      </w:r>
      <w:r>
        <w:t xml:space="preserve"> </w:t>
      </w:r>
      <w:r>
        <w:rPr>
          <w:b/>
          <w:bCs/>
        </w:rPr>
        <w:t xml:space="preserve">green</w:t>
      </w:r>
      <w:r>
        <w:t xml:space="preserve"> </w:t>
      </w:r>
      <w:r>
        <w:t xml:space="preserve">across all the various QC/QA concerns evaluated.</w:t>
      </w:r>
    </w:p>
    <w:bookmarkEnd w:id="22"/>
    <w:bookmarkStart w:id="23" w:name="conclusions"/>
    <w:p>
      <w:pPr>
        <w:pStyle w:val="Heading2"/>
      </w:pPr>
      <w:r>
        <w:t xml:space="preserve">Conclusions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Quality-control and quality-assessment of a metabolomics data repository.</dc:title>
  <dc:creator>Robert M Flight, P Travis Thompson, Hunter NB Moseley</dc:creator>
  <cp:keywords/>
  <dcterms:created xsi:type="dcterms:W3CDTF">2026-07-08T20:32:13Z</dcterms:created>
  <dcterms:modified xsi:type="dcterms:W3CDTF">2026-07-08T20:32:13Z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2026-07-08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