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Pathogen Economy Epiforecast</w:t>
      </w:r>
    </w:p>
    <w:p>
      <w:pPr>
        <w:jc w:val="center"/>
      </w:pPr>
      <w:r>
        <w:rPr>
          <w:i/>
          <w:sz w:val="24"/>
        </w:rPr>
        <w:t>Year 1 Operations Handbook — Budget Alignment &amp; System Behaviour</w:t>
      </w:r>
    </w:p>
    <w:p/>
    <w:p>
      <w:pPr>
        <w:pStyle w:val="Heading1"/>
      </w:pPr>
      <w:r>
        <w:t>1. Executive summary</w:t>
      </w:r>
    </w:p>
    <w:p>
      <w:r>
        <w:t>This handbook ties the approved twelve-month operating budget to concrete responsibilities in the Pathogen Economy Epiforecast platform (Streamlit national dashboard, FastAPI companion API, SQLite validated-signal store, and Expo mobile client). Each budget line below lists what the vendors provide, how the application consumes those services today, and what IT staff must operate.</w:t>
      </w:r>
    </w:p>
    <w:p>
      <w:pPr>
        <w:pStyle w:val="Heading1"/>
      </w:pPr>
      <w:r>
        <w:t>2. Approved budget (UGX)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Priority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234"/>
          </w:tcPr>
          <w:p>
            <w:r>
              <w:rPr>
                <w:b/>
              </w:rPr>
              <w:t>Vendor</w:t>
            </w:r>
          </w:p>
        </w:tc>
        <w:tc>
          <w:tcPr>
            <w:tcW w:type="dxa" w:w="1234"/>
          </w:tcPr>
          <w:p>
            <w:r>
              <w:rPr>
                <w:b/>
              </w:rPr>
              <w:t>Qty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Monthly (UGX)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Year 1 Total (UGX)</w:t>
            </w:r>
          </w:p>
        </w:tc>
        <w:tc>
          <w:tcPr>
            <w:tcW w:type="dxa" w:w="1234"/>
          </w:tcPr>
          <w:p>
            <w:r>
              <w:rPr>
                <w:b/>
              </w:rPr>
              <w:t>Notes</w:t>
            </w:r>
          </w:p>
        </w:tc>
      </w:tr>
      <w:tr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Domain Registration</w:t>
            </w:r>
          </w:p>
        </w:tc>
        <w:tc>
          <w:tcPr>
            <w:tcW w:type="dxa" w:w="1234"/>
          </w:tcPr>
          <w:p>
            <w:r>
              <w:t>Cloudflare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39,000</w:t>
            </w:r>
          </w:p>
        </w:tc>
        <w:tc>
          <w:tcPr>
            <w:tcW w:type="dxa" w:w="1234"/>
          </w:tcPr>
          <w:p>
            <w:r>
              <w:t>468,000</w:t>
            </w:r>
          </w:p>
        </w:tc>
        <w:tc>
          <w:tcPr>
            <w:tcW w:type="dxa" w:w="1234"/>
          </w:tcPr>
          <w:p>
            <w:r>
              <w:t>Core domain ownership: PathogenEconomyEpiforecast.com (STI intellectual property).</w:t>
            </w:r>
          </w:p>
        </w:tc>
      </w:tr>
      <w:tr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DNS + WAF/CDN</w:t>
            </w:r>
          </w:p>
        </w:tc>
        <w:tc>
          <w:tcPr>
            <w:tcW w:type="dxa" w:w="1234"/>
          </w:tcPr>
          <w:p>
            <w:r>
              <w:t>Cloudflare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74,000</w:t>
            </w:r>
          </w:p>
        </w:tc>
        <w:tc>
          <w:tcPr>
            <w:tcW w:type="dxa" w:w="1234"/>
          </w:tcPr>
          <w:p>
            <w:r>
              <w:t>888,000</w:t>
            </w:r>
          </w:p>
        </w:tc>
        <w:tc>
          <w:tcPr>
            <w:tcW w:type="dxa" w:w="1234"/>
          </w:tcPr>
          <w:p>
            <w:r>
              <w:t>Edge DNS, WAF, and CDN in front of the Industry 4.0+ origin server.</w:t>
            </w:r>
          </w:p>
        </w:tc>
      </w:tr>
      <w:tr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AI Provider (Primary)</w:t>
            </w:r>
          </w:p>
        </w:tc>
        <w:tc>
          <w:tcPr>
            <w:tcW w:type="dxa" w:w="1234"/>
          </w:tcPr>
          <w:p>
            <w:r>
              <w:t>OpenAI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2,260,503</w:t>
            </w:r>
          </w:p>
        </w:tc>
        <w:tc>
          <w:tcPr>
            <w:tcW w:type="dxa" w:w="1234"/>
          </w:tcPr>
          <w:p>
            <w:r>
              <w:t>27,126,034</w:t>
            </w:r>
          </w:p>
        </w:tc>
        <w:tc>
          <w:tcPr>
            <w:tcW w:type="dxa" w:w="1234"/>
          </w:tcPr>
          <w:p>
            <w:r>
              <w:t>Powers forecasting, NLP alerts, and AI signal validation.</w:t>
            </w:r>
          </w:p>
        </w:tc>
      </w:tr>
      <w:tr>
        <w:tc>
          <w:tcPr>
            <w:tcW w:type="dxa" w:w="1234"/>
          </w:tcPr>
          <w:p>
            <w:r>
              <w:t>P2</w:t>
            </w:r>
          </w:p>
        </w:tc>
        <w:tc>
          <w:tcPr>
            <w:tcW w:type="dxa" w:w="1234"/>
          </w:tcPr>
          <w:p>
            <w:r>
              <w:t>AI Failover</w:t>
            </w:r>
          </w:p>
        </w:tc>
        <w:tc>
          <w:tcPr>
            <w:tcW w:type="dxa" w:w="1234"/>
          </w:tcPr>
          <w:p>
            <w:r>
              <w:t>Groq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541,666</w:t>
            </w:r>
          </w:p>
        </w:tc>
        <w:tc>
          <w:tcPr>
            <w:tcW w:type="dxa" w:w="1234"/>
          </w:tcPr>
          <w:p>
            <w:r>
              <w:t>6,500,000</w:t>
            </w:r>
          </w:p>
        </w:tc>
        <w:tc>
          <w:tcPr>
            <w:tcW w:type="dxa" w:w="1234"/>
          </w:tcPr>
          <w:p>
            <w:r>
              <w:t>Backup LLM when OpenAI is unavailable or rate-limited.</w:t>
            </w:r>
          </w:p>
        </w:tc>
      </w:tr>
      <w:tr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Transactional Email</w:t>
            </w:r>
          </w:p>
        </w:tc>
        <w:tc>
          <w:tcPr>
            <w:tcW w:type="dxa" w:w="1234"/>
          </w:tcPr>
          <w:p>
            <w:r>
              <w:t>SendGrid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66,666</w:t>
            </w:r>
          </w:p>
        </w:tc>
        <w:tc>
          <w:tcPr>
            <w:tcW w:type="dxa" w:w="1234"/>
          </w:tcPr>
          <w:p>
            <w:r>
              <w:t>800,000</w:t>
            </w:r>
          </w:p>
        </w:tc>
        <w:tc>
          <w:tcPr>
            <w:tcW w:type="dxa" w:w="1234"/>
          </w:tcPr>
          <w:p>
            <w:r>
              <w:t>Password resets, risk bulletins, and operational mail with strong deliverability.</w:t>
            </w:r>
          </w:p>
        </w:tc>
      </w:tr>
      <w:tr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Uptime + Paging</w:t>
            </w:r>
          </w:p>
        </w:tc>
        <w:tc>
          <w:tcPr>
            <w:tcW w:type="dxa" w:w="1234"/>
          </w:tcPr>
          <w:p>
            <w:r>
              <w:t>Better Stack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100,000</w:t>
            </w:r>
          </w:p>
        </w:tc>
        <w:tc>
          <w:tcPr>
            <w:tcW w:type="dxa" w:w="1234"/>
          </w:tcPr>
          <w:p>
            <w:r>
              <w:t>1,200,000</w:t>
            </w:r>
          </w:p>
        </w:tc>
        <w:tc>
          <w:tcPr>
            <w:tcW w:type="dxa" w:w="1234"/>
          </w:tcPr>
          <w:p>
            <w:r>
              <w:t>Synthetic monitoring, SMS/voice escalation to on-call IT staff.</w:t>
            </w:r>
          </w:p>
        </w:tc>
      </w:tr>
      <w:tr>
        <w:tc>
          <w:tcPr>
            <w:tcW w:type="dxa" w:w="1234"/>
          </w:tcPr>
          <w:p>
            <w:r>
              <w:t>P2</w:t>
            </w:r>
          </w:p>
        </w:tc>
        <w:tc>
          <w:tcPr>
            <w:tcW w:type="dxa" w:w="1234"/>
          </w:tcPr>
          <w:p>
            <w:r>
              <w:t>Backup Storage</w:t>
            </w:r>
          </w:p>
        </w:tc>
        <w:tc>
          <w:tcPr>
            <w:tcW w:type="dxa" w:w="1234"/>
          </w:tcPr>
          <w:p>
            <w:r>
              <w:t>Cloudflare R2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36,666</w:t>
            </w:r>
          </w:p>
        </w:tc>
        <w:tc>
          <w:tcPr>
            <w:tcW w:type="dxa" w:w="1234"/>
          </w:tcPr>
          <w:p>
            <w:r>
              <w:t>440,000</w:t>
            </w:r>
          </w:p>
        </w:tc>
        <w:tc>
          <w:tcPr>
            <w:tcW w:type="dxa" w:w="1234"/>
          </w:tcPr>
          <w:p>
            <w:r>
              <w:t>Off-site object storage for database and file backups.</w:t>
            </w:r>
          </w:p>
        </w:tc>
      </w:tr>
      <w:tr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App Builder License</w:t>
            </w:r>
          </w:p>
        </w:tc>
        <w:tc>
          <w:tcPr>
            <w:tcW w:type="dxa" w:w="1234"/>
          </w:tcPr>
          <w:p>
            <w:r>
              <w:t>ABQ</w:t>
            </w:r>
          </w:p>
        </w:tc>
        <w:tc>
          <w:tcPr>
            <w:tcW w:type="dxa" w:w="1234"/>
          </w:tcPr>
          <w:p>
            <w:r>
              <w:t>1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0</w:t>
            </w:r>
          </w:p>
        </w:tc>
        <w:tc>
          <w:tcPr>
            <w:tcW w:type="dxa" w:w="1234"/>
          </w:tcPr>
          <w:p>
            <w:r>
              <w:t>Free-trial tier in year 1 for complementary UI / deployment workflows.</w:t>
            </w:r>
          </w:p>
        </w:tc>
      </w:tr>
      <w:tr>
        <w:tc>
          <w:tcPr>
            <w:tcW w:type="dxa" w:w="1234"/>
          </w:tcPr>
          <w:p>
            <w:r>
              <w:t>P1</w:t>
            </w:r>
          </w:p>
        </w:tc>
        <w:tc>
          <w:tcPr>
            <w:tcW w:type="dxa" w:w="1234"/>
          </w:tcPr>
          <w:p>
            <w:r>
              <w:t>Technical Staff</w:t>
            </w:r>
          </w:p>
        </w:tc>
        <w:tc>
          <w:tcPr>
            <w:tcW w:type="dxa" w:w="1234"/>
          </w:tcPr>
          <w:p>
            <w:r>
              <w:t>IT Personnel</w:t>
            </w:r>
          </w:p>
        </w:tc>
        <w:tc>
          <w:tcPr>
            <w:tcW w:type="dxa" w:w="1234"/>
          </w:tcPr>
          <w:p>
            <w:r>
              <w:t>2</w:t>
            </w:r>
          </w:p>
        </w:tc>
        <w:tc>
          <w:tcPr>
            <w:tcW w:type="dxa" w:w="1234"/>
          </w:tcPr>
          <w:p>
            <w:r>
              <w:t>550,000</w:t>
            </w:r>
          </w:p>
        </w:tc>
        <w:tc>
          <w:tcPr>
            <w:tcW w:type="dxa" w:w="1234"/>
          </w:tcPr>
          <w:p>
            <w:r>
              <w:t>13,200,000</w:t>
            </w:r>
          </w:p>
        </w:tc>
        <w:tc>
          <w:tcPr>
            <w:tcW w:type="dxa" w:w="1234"/>
          </w:tcPr>
          <w:p>
            <w:r>
              <w:t>Two stipended engineers for monitoring, patching, and incident response.</w:t>
            </w:r>
          </w:p>
        </w:tc>
      </w:tr>
      <w:tr>
        <w:tc>
          <w:tcPr>
            <w:tcW w:type="dxa" w:w="1234"/>
          </w:tcPr>
          <w:p>
            <w:r>
              <w:rPr>
                <w:b/>
              </w:rPr>
              <w:t>TOTAL</w:t>
            </w:r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/>
          </w:p>
        </w:tc>
        <w:tc>
          <w:tcPr>
            <w:tcW w:type="dxa" w:w="1234"/>
          </w:tcPr>
          <w:p>
            <w:r>
              <w:t>3,730,836</w:t>
            </w:r>
          </w:p>
        </w:tc>
        <w:tc>
          <w:tcPr>
            <w:tcW w:type="dxa" w:w="1234"/>
          </w:tcPr>
          <w:p>
            <w:r>
              <w:t>44,770,034</w:t>
            </w:r>
          </w:p>
        </w:tc>
        <w:tc>
          <w:tcPr>
            <w:tcW w:type="dxa" w:w="1234"/>
          </w:tcPr>
          <w:p>
            <w:r>
              <w:t>Complete 12-month operational and development budget.</w:t>
            </w:r>
          </w:p>
        </w:tc>
      </w:tr>
    </w:tbl>
    <w:p/>
    <w:p>
      <w:pPr>
        <w:pStyle w:val="Heading1"/>
      </w:pPr>
      <w:r>
        <w:t>3. How the application uses each budget line</w:t>
      </w:r>
    </w:p>
    <w:p>
      <w:pPr>
        <w:pStyle w:val="Heading2"/>
      </w:pPr>
      <w:r>
        <w:t>P1 — Domain (Cloudflare Registrar)</w:t>
      </w:r>
    </w:p>
    <w:p>
      <w:r>
        <w:t>The production hostname (e.g. pathogeneconomyepiforecast.com) establishes STI-controlled intellectual property and stable URLs for the dashboard and API documentation. DNS records eventually point at the Industry 4.0+ origin or a reverse proxy tier.</w:t>
      </w:r>
    </w:p>
    <w:p>
      <w:pPr>
        <w:pStyle w:val="Heading2"/>
      </w:pPr>
      <w:r>
        <w:t>P1 — DNS + WAF / CDN (Cloudflare)</w:t>
      </w:r>
    </w:p>
    <w:p>
      <w:r>
        <w:t>Cloudflare terminates TLS, performs bot mitigation, caches static assets, and shields the upstream Streamlit / FastAPI processes. The Python code does not embed Cloudflare APIs; configuration lives in Cloudflare and on the host. Rate limiting inside FastAPI (`API_RATE_LIMIT_PER_MIN`) adds a second layer of request protection.</w:t>
      </w:r>
    </w:p>
    <w:p>
      <w:pPr>
        <w:pStyle w:val="Heading2"/>
      </w:pPr>
      <w:r>
        <w:t>P1 — AI primary (OpenAI)</w:t>
      </w:r>
    </w:p>
    <w:p>
      <w:r>
        <w:t>Configured through `AI_API_KEY`, `AI_BASE_URL`, and `AI_MODEL` (or `OPENAI_*` aliases). OpenAI drives: (a) batched disease-signal validation in `signal_validator.py`, (b) Forecast Lab JSON briefs in `forecast_lab_four_disease.py`, (c) optional NLP alert copy in `data_services.py`, and (d) OpenAI-compatible proxy routes in `api_server.py` (`/v1/chat/completions`, `/v1/nlp-alerts`, `/v1/cursor/chat`).</w:t>
      </w:r>
    </w:p>
    <w:p>
      <w:pPr>
        <w:pStyle w:val="Heading2"/>
      </w:pPr>
      <w:r>
        <w:t>P2 — AI failover (Groq)</w:t>
      </w:r>
    </w:p>
    <w:p>
      <w:r>
        <w:t>Set `AI_FAILOVER_API_KEY` or `GROQ_API_KEY` plus optional base/model overrides. The codebase now walks the provider chain automatically: primary credentials first, then Groq. The same chain is used for direct HTTP validation batches, `chat_text_from_messages` in `ai_config.py`, NLP alert generation, and the FastAPI proxy (environment credentials only — per-request Bearer overrides stay on a single host).</w:t>
      </w:r>
    </w:p>
    <w:p>
      <w:pPr>
        <w:pStyle w:val="Heading2"/>
      </w:pPr>
      <w:r>
        <w:t>P1 — Transactional email (SendGrid)</w:t>
      </w:r>
    </w:p>
    <w:p>
      <w:r>
        <w:t>`send_admin_email` in `data_services.py` sends daily and emergency epidemic bulletins configured under Administration → risk email routing (`app_pages.py`). If `SENDGRID_API_KEY` is present, SMTP defaults to `smtp.sendgrid.net` with username `apikey`. Generic SMTP remains supported for other providers.</w:t>
      </w:r>
    </w:p>
    <w:p>
      <w:pPr>
        <w:pStyle w:val="Heading2"/>
      </w:pPr>
      <w:r>
        <w:t>P1 — Uptime + paging (Better Stack)</w:t>
      </w:r>
    </w:p>
    <w:p>
      <w:r>
        <w:t>Better Stack performs external synthetic checks and on-call notifications. Target the public `/health` endpoint on `api_server.py` (returns `pathogen-economy-epiforecast-api` metadata) plus the public Streamlit URL once exposed. Optional `BETTER_STACK_HEARTBEAT_URL` can be set for cron-style heartbeats from backup jobs.</w:t>
      </w:r>
    </w:p>
    <w:p>
      <w:pPr>
        <w:pStyle w:val="Heading2"/>
      </w:pPr>
      <w:r>
        <w:t>P2 — Backup storage (Cloudflare R2)</w:t>
      </w:r>
    </w:p>
    <w:p>
      <w:r>
        <w:t>Critical artefacts include `SIGNAL_DB_PATH` (validated SQLite feed), `uploads/reports` (Admin uploads), and environment templates. R2 is S3-compatible: IT should schedule encrypted nightly `aws s3 sync` (or rclone) jobs using `R2_*` credentials referenced in `.env.example`. The Admin panel surfaces `R2_BUCKET_NAME` / access-key presence as a checklist item only — uploads are still operated by staff.</w:t>
      </w:r>
    </w:p>
    <w:p>
      <w:pPr>
        <w:pStyle w:val="Heading2"/>
      </w:pPr>
      <w:r>
        <w:t>P1 — App Builder license (ABQ trial)</w:t>
      </w:r>
    </w:p>
    <w:p>
      <w:r>
        <w:t>ABQ or similar low-code tooling can wrap deployment UX while this repository remains the source of truth for analytics logic. Track trial conversion before year two. Set `ABQ_PROJECT_ID` when the integration is live so administrators see readiness in-app.</w:t>
      </w:r>
    </w:p>
    <w:p>
      <w:pPr>
        <w:pStyle w:val="Heading2"/>
      </w:pPr>
      <w:r>
        <w:t>P1 — Technical staff (two IT experts)</w:t>
      </w:r>
    </w:p>
    <w:p>
      <w:r>
        <w:t>Operate vendor consoles (Cloudflare, OpenAI, Groq, SendGrid, Better Stack, R2), rotate API keys, watch cost dashboards, restore backups, patch dependencies (`requirements.txt`), and coordinate with Industry 4.0+ for origin capacity. They should maintain runbooks for: failover drills (disable primary LLM key), email bounce handling, and incident communications to STI leadership.</w:t>
      </w:r>
    </w:p>
    <w:p>
      <w:pPr>
        <w:pStyle w:val="Heading1"/>
      </w:pPr>
      <w:r>
        <w:t>4. Component map (repository)</w:t>
      </w:r>
    </w:p>
    <w:p>
      <w:r>
        <w:t>• app.py / app_pages.py / pathogen_economy_pages.py — Streamlit UX, navigation, admin controls.</w:t>
        <w:br/>
        <w:t>• api_server.py — FastAPI NLP alerts, SEIR endpoint, OpenAI-compatible proxy, `/health` for monitors.</w:t>
        <w:br/>
        <w:t>• data_services.py — Data ingestion, SMTP alerts, epidemiology helpers.</w:t>
        <w:br/>
        <w:t>• ai_config.py — Provider resolution + automatic Groq failover for chat-style calls.</w:t>
        <w:br/>
        <w:t>• signal_validator.py — LLM batches with failover for outbreak signal adjudication.</w:t>
        <w:br/>
        <w:t>• signal_store.py — SQLite persistence for validated signals.</w:t>
        <w:br/>
        <w:t>• mobile-app/ — Expo client aligned to the same API patterns.</w:t>
        <w:br/>
        <w:t>• .env.example — authoritative list of integration environment variables.</w:t>
      </w:r>
    </w:p>
    <w:p>
      <w:pPr>
        <w:pStyle w:val="Heading1"/>
      </w:pPr>
      <w:r>
        <w:t>5. Acceptance criteria for go-live</w:t>
      </w:r>
    </w:p>
    <w:p>
      <w:r>
        <w:t>1. Primary OpenAI credentials verified via Forecast Lab and a signal-heavy dashboard refresh.</w:t>
        <w:br/>
        <w:t>2. Groq failover verified by revoking the primary key in a staging environment — requests should still succeed.</w:t>
        <w:br/>
        <w:t>3. SendGrid (or SMTP) test bulletin from Administration succeeds for all leadership recipients.</w:t>
        <w:br/>
        <w:t>4. Better Stack monitors green for `/health` and the public dashboard URL for at least 72 hours.</w:t>
        <w:br/>
        <w:t>5. R2 backup job restored successfully into a scratch VM (tabletop exercise).</w:t>
        <w:br/>
        <w:t>6. Two named IT operators documented in the on-call roster with access to all vendor consoles.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