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29.png" ContentType="image/png"/>
  <Override PartName="/word/media/rId32.png" ContentType="image/png"/>
  <Override PartName="/word/media/rId26.png" ContentType="image/png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Implementation Architecture of a Custom ERP System</w:t>
      </w:r>
      <w:r>
        <w:t xml:space="preserve"> </w:t>
      </w:r>
      <w:r>
        <w:t xml:space="preserve">Prepared for: Begal Farm Harvest (BFH)</w:t>
      </w:r>
      <w:r>
        <w:t xml:space="preserve"> </w:t>
      </w:r>
      <w:r>
        <w:t xml:space="preserve">Date: August 2025</w:t>
      </w:r>
      <w:r>
        <w:t xml:space="preserve"> </w:t>
      </w:r>
      <w:r>
        <w:t xml:space="preserve">Prepared by: Analytics Business Centre</w:t>
      </w:r>
    </w:p>
    <w:p>
      <w:pPr>
        <w:pStyle w:val="Compact"/>
        <w:numPr>
          <w:ilvl w:val="0"/>
          <w:numId w:val="1001"/>
        </w:numPr>
      </w:pPr>
      <w:r>
        <w:t xml:space="preserve">Executive Summary</w:t>
      </w:r>
      <w:r>
        <w:t xml:space="preserve"> </w:t>
      </w:r>
      <w:r>
        <w:t xml:space="preserve">This document outlines the software architecture and implementation structure of a tailored Enterprise Resource Planning (ERP) system designed for Begal Farm Harvest (BFH). The system consolidates operations into a unified platform, covering Finance, Inventory, Manufacturing, HR, Payroll, and Sales, ensuring:</w:t>
      </w:r>
    </w:p>
    <w:p>
      <w:pPr>
        <w:pStyle w:val="Compact"/>
        <w:numPr>
          <w:ilvl w:val="0"/>
          <w:numId w:val="1002"/>
        </w:numPr>
      </w:pPr>
      <w:r>
        <w:t xml:space="preserve">Full digitization of operational processes.</w:t>
      </w:r>
    </w:p>
    <w:p>
      <w:pPr>
        <w:pStyle w:val="Compact"/>
        <w:numPr>
          <w:ilvl w:val="0"/>
          <w:numId w:val="1002"/>
        </w:numPr>
      </w:pPr>
      <w:r>
        <w:t xml:space="preserve">Scalable and modular design for future growth.</w:t>
      </w:r>
    </w:p>
    <w:p>
      <w:pPr>
        <w:pStyle w:val="Compact"/>
        <w:numPr>
          <w:ilvl w:val="0"/>
          <w:numId w:val="1002"/>
        </w:numPr>
      </w:pPr>
      <w:r>
        <w:t xml:space="preserve">Real-time visibility into financials, inventory, and production.</w:t>
      </w:r>
    </w:p>
    <w:p>
      <w:pPr>
        <w:pStyle w:val="Compact"/>
        <w:numPr>
          <w:ilvl w:val="0"/>
          <w:numId w:val="1002"/>
        </w:numPr>
      </w:pPr>
      <w:r>
        <w:t xml:space="preserve">Farm-specific features such as poultry cycle management and feed cost tracking.</w:t>
      </w:r>
    </w:p>
    <w:p>
      <w:pPr>
        <w:pStyle w:val="Compact"/>
        <w:numPr>
          <w:ilvl w:val="0"/>
          <w:numId w:val="1002"/>
        </w:numPr>
      </w:pPr>
      <w:r>
        <w:t xml:space="preserve">Cloud-ready deployment for performance, availability, and data security.</w:t>
      </w:r>
    </w:p>
    <w:p>
      <w:pPr>
        <w:pStyle w:val="Compact"/>
        <w:numPr>
          <w:ilvl w:val="0"/>
          <w:numId w:val="1003"/>
        </w:numPr>
      </w:pPr>
      <w:r>
        <w:t xml:space="preserve">Technical Architecture</w:t>
      </w:r>
      <w:r>
        <w:t xml:space="preserve"> </w:t>
      </w:r>
      <w:r>
        <w:t xml:space="preserve">2.1 System Overview</w:t>
      </w:r>
      <w:r>
        <w:t xml:space="preserve"> </w:t>
      </w:r>
      <w:r>
        <w:t xml:space="preserve">The ERP system follows a multi-layered architecture: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(Client Layer)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JavaScript, React, Bootstrap, REST API integration, Mobile Responsive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dashboards, data entry forms, analytics, mobile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(Application Layer)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Python-based modular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logic, workflows, rules engine, API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MariaDB (SQL-based, ACID compliant)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persistence, transactions, reporting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queues, notifications, reminders, job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API,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 with external apps (SMS, banking, payment systems, IoT sensors)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SSL/TLS, RBAC, 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Authentication, access control, encryption</w:t>
            </w:r>
          </w:p>
        </w:tc>
      </w:tr>
    </w:tbl>
    <w:p>
      <w:pPr>
        <w:pStyle w:val="BodyText"/>
      </w:pPr>
      <w:r>
        <w:t xml:space="preserve">System Overview Diagram</w:t>
      </w:r>
      <w:r>
        <w:t xml:space="preserve"> </w:t>
      </w:r>
      <w:r>
        <w:drawing>
          <wp:inline>
            <wp:extent cx="5486400" cy="1273628"/>
            <wp:effectExtent b="0" l="0" r="0" t="0"/>
            <wp:docPr descr="System Overview" title="" id="21" name="Picture"/>
            <a:graphic>
              <a:graphicData uri="http://schemas.openxmlformats.org/drawingml/2006/picture">
                <pic:pic>
                  <pic:nvPicPr>
                    <pic:cNvPr descr="img/system-overview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73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2.2 Backend (Application Layer)</w:t>
      </w:r>
      <w:r>
        <w:t xml:space="preserve"> </w:t>
      </w:r>
      <w:r>
        <w:t xml:space="preserve">Technology Core: Python-based modular framework.</w:t>
      </w:r>
    </w:p>
    <w:p>
      <w:pPr>
        <w:pStyle w:val="BodyText"/>
      </w:pPr>
      <w:r>
        <w:t xml:space="preserve">Architecture Style: Service-oriented modules (each app handles a domain such as Finance, HR, or Manufacturing).</w:t>
      </w:r>
    </w:p>
    <w:p>
      <w:pPr>
        <w:pStyle w:val="BodyText"/>
      </w:pPr>
      <w:r>
        <w:t xml:space="preserve">Core Features:</w:t>
      </w:r>
    </w:p>
    <w:p>
      <w:pPr>
        <w:pStyle w:val="Compact"/>
        <w:numPr>
          <w:ilvl w:val="0"/>
          <w:numId w:val="1004"/>
        </w:numPr>
      </w:pPr>
      <w:r>
        <w:t xml:space="preserve">Business Logic Engine – Implements domain-specific rules (e.g., payroll formulas, cost of goods sold, depreciation).</w:t>
      </w:r>
    </w:p>
    <w:p>
      <w:pPr>
        <w:pStyle w:val="Compact"/>
        <w:numPr>
          <w:ilvl w:val="0"/>
          <w:numId w:val="1004"/>
        </w:numPr>
      </w:pPr>
      <w:r>
        <w:t xml:space="preserve">Workflow Manager – Automates approvals (purchase orders, leave requests, stock transfers).</w:t>
      </w:r>
    </w:p>
    <w:p>
      <w:pPr>
        <w:pStyle w:val="Compact"/>
        <w:numPr>
          <w:ilvl w:val="0"/>
          <w:numId w:val="1004"/>
        </w:numPr>
      </w:pPr>
      <w:r>
        <w:t xml:space="preserve">Background Workers – Uses Redis queues for sending emails, SMS alerts, automated reminders, and batch jobs.</w:t>
      </w:r>
    </w:p>
    <w:p>
      <w:pPr>
        <w:pStyle w:val="Compact"/>
        <w:numPr>
          <w:ilvl w:val="0"/>
          <w:numId w:val="1004"/>
        </w:numPr>
      </w:pPr>
      <w:r>
        <w:t xml:space="preserve">API Services – RESTful endpoints for web/mobile frontend, plus hooks for third-party systems (banking, messaging, IoT).</w:t>
      </w:r>
    </w:p>
    <w:p>
      <w:pPr>
        <w:pStyle w:val="Compact"/>
        <w:numPr>
          <w:ilvl w:val="0"/>
          <w:numId w:val="1004"/>
        </w:numPr>
      </w:pPr>
      <w:r>
        <w:t xml:space="preserve">Reporting Engine – Generates both tabular and graphical reports with drill-down capabilities.</w:t>
      </w:r>
    </w:p>
    <w:p>
      <w:pPr>
        <w:pStyle w:val="FirstParagraph"/>
      </w:pPr>
      <w:r>
        <w:t xml:space="preserve">2.3 Frontend (Client Layer)</w:t>
      </w:r>
      <w:r>
        <w:t xml:space="preserve"> </w:t>
      </w:r>
      <w:r>
        <w:t xml:space="preserve">Technology Core: React + Bootstrap (responsive web), with optional mobile app wrapper.</w:t>
      </w:r>
    </w:p>
    <w:p>
      <w:pPr>
        <w:pStyle w:val="BodyText"/>
      </w:pPr>
      <w:r>
        <w:t xml:space="preserve">Design Philosophy: Role-based, task-driven dashboards to minimize clutter.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05"/>
        </w:numPr>
      </w:pPr>
      <w:r>
        <w:t xml:space="preserve">Dashboards &amp; KPIs – Visual charts for sales trends, feed costs, stock availability, payroll, and production efficiency.</w:t>
      </w:r>
    </w:p>
    <w:p>
      <w:pPr>
        <w:pStyle w:val="Compact"/>
        <w:numPr>
          <w:ilvl w:val="0"/>
          <w:numId w:val="1005"/>
        </w:numPr>
      </w:pPr>
      <w:r>
        <w:t xml:space="preserve">Forms &amp; Transactions – User-friendly forms for creating invoices, recording expenses, stock entries, and payroll runs.</w:t>
      </w:r>
    </w:p>
    <w:p>
      <w:pPr>
        <w:pStyle w:val="Compact"/>
        <w:numPr>
          <w:ilvl w:val="0"/>
          <w:numId w:val="1005"/>
        </w:numPr>
      </w:pPr>
      <w:r>
        <w:t xml:space="preserve">Role-Based Views – Each user role (Farm Manager, Accountant, Sales Officer, Warehouse Clerk) only sees relevant menus, reports, and actions.</w:t>
      </w:r>
    </w:p>
    <w:p>
      <w:pPr>
        <w:pStyle w:val="Compact"/>
        <w:numPr>
          <w:ilvl w:val="0"/>
          <w:numId w:val="1005"/>
        </w:numPr>
      </w:pPr>
      <w:r>
        <w:t xml:space="preserve">Custom Reports Builder – End-users can filter, group, and export reports without developer intervention.</w:t>
      </w:r>
    </w:p>
    <w:p>
      <w:pPr>
        <w:pStyle w:val="Compact"/>
        <w:numPr>
          <w:ilvl w:val="0"/>
          <w:numId w:val="1005"/>
        </w:numPr>
      </w:pPr>
      <w:r>
        <w:t xml:space="preserve">Mobile-Responsive UI – Access via smartphones and tablets for field users.</w:t>
      </w:r>
    </w:p>
    <w:p>
      <w:pPr>
        <w:pStyle w:val="FirstParagraph"/>
      </w:pPr>
      <w:r>
        <w:t xml:space="preserve">2.4 Security Architecture</w:t>
      </w:r>
      <w:r>
        <w:t xml:space="preserve"> </w:t>
      </w:r>
      <w:r>
        <w:t xml:space="preserve">Authentication: Enforced strong password policy; optional 2FA.</w:t>
      </w:r>
    </w:p>
    <w:p>
      <w:pPr>
        <w:pStyle w:val="BodyText"/>
      </w:pPr>
      <w:r>
        <w:t xml:space="preserve">Authorization: Role-Based Access Control (RBAC) at document and field level.</w:t>
      </w:r>
    </w:p>
    <w:p>
      <w:pPr>
        <w:pStyle w:val="BodyText"/>
      </w:pPr>
      <w:r>
        <w:t xml:space="preserve">Encryption:</w:t>
      </w:r>
    </w:p>
    <w:p>
      <w:pPr>
        <w:pStyle w:val="Compact"/>
        <w:numPr>
          <w:ilvl w:val="0"/>
          <w:numId w:val="1006"/>
        </w:numPr>
      </w:pPr>
      <w:r>
        <w:t xml:space="preserve">SSL/TLS for all web traffic.</w:t>
      </w:r>
    </w:p>
    <w:p>
      <w:pPr>
        <w:pStyle w:val="Compact"/>
        <w:numPr>
          <w:ilvl w:val="0"/>
          <w:numId w:val="1006"/>
        </w:numPr>
      </w:pPr>
      <w:r>
        <w:t xml:space="preserve">Encrypted backups using AES-256.</w:t>
      </w:r>
    </w:p>
    <w:p>
      <w:pPr>
        <w:pStyle w:val="FirstParagraph"/>
      </w:pPr>
      <w:r>
        <w:t xml:space="preserve">Audit Trail: Every record mutation logged with timestamp, user, and action for compliance.</w:t>
      </w:r>
    </w:p>
    <w:p>
      <w:pPr>
        <w:pStyle w:val="BodyText"/>
      </w:pPr>
      <w:r>
        <w:t xml:space="preserve">Security Diagram</w:t>
      </w:r>
      <w:r>
        <w:t xml:space="preserve"> </w:t>
      </w:r>
      <w:r>
        <w:drawing>
          <wp:inline>
            <wp:extent cx="5486400" cy="1406589"/>
            <wp:effectExtent b="0" l="0" r="0" t="0"/>
            <wp:docPr descr="Security" title="" id="24" name="Picture"/>
            <a:graphic>
              <a:graphicData uri="http://schemas.openxmlformats.org/drawingml/2006/picture">
                <pic:pic>
                  <pic:nvPicPr>
                    <pic:cNvPr descr="img/security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06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2.5 Deployment Architecture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user acceptance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(DigitalOcean, or Private VM)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Mirrors production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system for BFH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or On-Premise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backups, high availability enabled</w:t>
            </w:r>
          </w:p>
        </w:tc>
      </w:tr>
    </w:tbl>
    <w:p>
      <w:pPr>
        <w:pStyle w:val="BodyText"/>
      </w:pPr>
      <w:r>
        <w:t xml:space="preserve">Deployment Diagram</w:t>
      </w:r>
      <w:r>
        <w:t xml:space="preserve"> </w:t>
      </w:r>
      <w:r>
        <w:drawing>
          <wp:inline>
            <wp:extent cx="5486400" cy="2596242"/>
            <wp:effectExtent b="0" l="0" r="0" t="0"/>
            <wp:docPr descr="Deployment" title="" id="27" name="Picture"/>
            <a:graphic>
              <a:graphicData uri="http://schemas.openxmlformats.org/drawingml/2006/picture">
                <pic:pic>
                  <pic:nvPicPr>
                    <pic:cNvPr descr="img/deploymen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6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t xml:space="preserve">Core Modules</w:t>
      </w:r>
      <w:r>
        <w:t xml:space="preserve"> </w:t>
      </w:r>
      <w:r>
        <w:t xml:space="preserve">3.1 Finance &amp; Accounting</w:t>
      </w:r>
      <w:r>
        <w:t xml:space="preserve"> </w:t>
      </w:r>
      <w:r>
        <w:t xml:space="preserve">Features: General Ledger, Chart of Accounts, Trial Balance, P&amp;L, Balance Sheet, Bank Reconciliation.</w:t>
      </w:r>
    </w:p>
    <w:p>
      <w:pPr>
        <w:pStyle w:val="FirstParagraph"/>
      </w:pPr>
      <w:r>
        <w:t xml:space="preserve">Automation: Real-time posting from transactions (sales invoices, purchase bills, payroll).</w:t>
      </w:r>
    </w:p>
    <w:p>
      <w:pPr>
        <w:pStyle w:val="BodyText"/>
      </w:pPr>
      <w:r>
        <w:t xml:space="preserve">Technical Note: SQL-driven reports, automated journal posting via backend service.</w:t>
      </w:r>
    </w:p>
    <w:p>
      <w:pPr>
        <w:pStyle w:val="BodyText"/>
      </w:pPr>
      <w:r>
        <w:t xml:space="preserve">3.2 Inventory &amp; Stock</w:t>
      </w:r>
      <w:r>
        <w:t xml:space="preserve"> </w:t>
      </w:r>
      <w:r>
        <w:t xml:space="preserve">Features: Multi-warehouse management, stock transfers, item master, valuation methods (FIFO, Moving Average).</w:t>
      </w:r>
    </w:p>
    <w:p>
      <w:pPr>
        <w:pStyle w:val="BodyText"/>
      </w:pPr>
      <w:r>
        <w:t xml:space="preserve">Batch &amp; Serial Tracking: Supports poultry batch IDs, feed lot numbers.</w:t>
      </w:r>
    </w:p>
    <w:p>
      <w:pPr>
        <w:pStyle w:val="BodyText"/>
      </w:pPr>
      <w:r>
        <w:t xml:space="preserve">Automation: Auto-reorder levels with system-generated Purchase Requests.</w:t>
      </w:r>
    </w:p>
    <w:p>
      <w:pPr>
        <w:pStyle w:val="BodyText"/>
      </w:pPr>
      <w:r>
        <w:t xml:space="preserve">3.3 Manufacturing (Feed &amp; Poultry Production)</w:t>
      </w:r>
      <w:r>
        <w:t xml:space="preserve"> </w:t>
      </w:r>
      <w:r>
        <w:t xml:space="preserve">Feed Production:</w:t>
      </w:r>
    </w:p>
    <w:p>
      <w:pPr>
        <w:pStyle w:val="Compact"/>
        <w:numPr>
          <w:ilvl w:val="0"/>
          <w:numId w:val="1008"/>
        </w:numPr>
      </w:pPr>
      <w:r>
        <w:t xml:space="preserve">Define formulas (Bill of Materials).</w:t>
      </w:r>
    </w:p>
    <w:p>
      <w:pPr>
        <w:pStyle w:val="Compact"/>
        <w:numPr>
          <w:ilvl w:val="0"/>
          <w:numId w:val="1008"/>
        </w:numPr>
      </w:pPr>
      <w:r>
        <w:t xml:space="preserve">Generate Work Orders for production.</w:t>
      </w:r>
    </w:p>
    <w:p>
      <w:pPr>
        <w:pStyle w:val="Compact"/>
        <w:numPr>
          <w:ilvl w:val="0"/>
          <w:numId w:val="1008"/>
        </w:numPr>
      </w:pPr>
      <w:r>
        <w:t xml:space="preserve">Track actual vs. planned cost of feed.</w:t>
      </w:r>
    </w:p>
    <w:p>
      <w:pPr>
        <w:pStyle w:val="FirstParagraph"/>
      </w:pPr>
      <w:r>
        <w:t xml:space="preserve">Poultry Cycles:</w:t>
      </w:r>
    </w:p>
    <w:p>
      <w:pPr>
        <w:pStyle w:val="Compact"/>
        <w:numPr>
          <w:ilvl w:val="0"/>
          <w:numId w:val="1009"/>
        </w:numPr>
      </w:pPr>
      <w:r>
        <w:t xml:space="preserve">Track batches of birds.</w:t>
      </w:r>
    </w:p>
    <w:p>
      <w:pPr>
        <w:pStyle w:val="Compact"/>
        <w:numPr>
          <w:ilvl w:val="0"/>
          <w:numId w:val="1009"/>
        </w:numPr>
      </w:pPr>
      <w:r>
        <w:t xml:space="preserve">Record mortality and growth cycles.</w:t>
      </w:r>
    </w:p>
    <w:p>
      <w:pPr>
        <w:pStyle w:val="Compact"/>
        <w:numPr>
          <w:ilvl w:val="0"/>
          <w:numId w:val="1009"/>
        </w:numPr>
      </w:pPr>
      <w:r>
        <w:t xml:space="preserve">Calculate per-bird cost and profitability.</w:t>
      </w:r>
    </w:p>
    <w:p>
      <w:pPr>
        <w:pStyle w:val="FirstParagraph"/>
      </w:pPr>
      <w:r>
        <w:t xml:space="preserve">Technical Note: Backend BOM engine, costing algorithms, work order logic.</w:t>
      </w:r>
    </w:p>
    <w:p>
      <w:pPr>
        <w:pStyle w:val="BodyText"/>
      </w:pPr>
      <w:r>
        <w:t xml:space="preserve">3.4 Sales &amp; CRM</w:t>
      </w:r>
      <w:r>
        <w:t xml:space="preserve"> </w:t>
      </w:r>
      <w:r>
        <w:t xml:space="preserve">Leads, Quotations, Sales Orders, Delivery Notes, Invoices.</w:t>
      </w:r>
    </w:p>
    <w:p>
      <w:pPr>
        <w:pStyle w:val="BodyText"/>
      </w:pPr>
      <w:r>
        <w:t xml:space="preserve">Customer database with full transaction history.</w:t>
      </w:r>
    </w:p>
    <w:p>
      <w:pPr>
        <w:pStyle w:val="BodyText"/>
      </w:pPr>
      <w:r>
        <w:t xml:space="preserve">Linked to Finance (AR) and Inventory (stock deduction).</w:t>
      </w:r>
    </w:p>
    <w:p>
      <w:pPr>
        <w:pStyle w:val="BodyText"/>
      </w:pPr>
      <w:r>
        <w:t xml:space="preserve">3.5 HR &amp; Payroll</w:t>
      </w:r>
      <w:r>
        <w:t xml:space="preserve"> </w:t>
      </w:r>
      <w:r>
        <w:t xml:space="preserve">Employee master records.</w:t>
      </w:r>
    </w:p>
    <w:p>
      <w:pPr>
        <w:pStyle w:val="BodyText"/>
      </w:pPr>
      <w:r>
        <w:t xml:space="preserve">Attendance, leave management, overtime tracking.</w:t>
      </w:r>
    </w:p>
    <w:p>
      <w:pPr>
        <w:pStyle w:val="BodyText"/>
      </w:pPr>
      <w:r>
        <w:t xml:space="preserve">Payroll processor with salary structures and tax calculations.</w:t>
      </w:r>
    </w:p>
    <w:p>
      <w:pPr>
        <w:pStyle w:val="BodyText"/>
      </w:pPr>
      <w:r>
        <w:t xml:space="preserve">Integration with Finance for automatic journal posting.</w:t>
      </w:r>
    </w:p>
    <w:p>
      <w:pPr>
        <w:pStyle w:val="BodyText"/>
      </w:pPr>
      <w:r>
        <w:t xml:space="preserve">3.6 Reporting &amp; Dashboards</w:t>
      </w:r>
      <w:r>
        <w:t xml:space="preserve"> </w:t>
      </w:r>
      <w:r>
        <w:t xml:space="preserve">SQL-driven reports with configurable filters.</w:t>
      </w:r>
    </w:p>
    <w:p>
      <w:pPr>
        <w:pStyle w:val="BodyText"/>
      </w:pPr>
      <w:r>
        <w:t xml:space="preserve">Graphical dashboards for management KPIs.</w:t>
      </w:r>
    </w:p>
    <w:p>
      <w:pPr>
        <w:pStyle w:val="BodyText"/>
      </w:pPr>
      <w:r>
        <w:t xml:space="preserve">Export to Excel/PDF.</w:t>
      </w:r>
    </w:p>
    <w:p>
      <w:pPr>
        <w:pStyle w:val="BodyText"/>
      </w:pPr>
      <w:r>
        <w:t xml:space="preserve">Process and Data Flow Diagram</w:t>
      </w:r>
      <w:r>
        <w:t xml:space="preserve"> </w:t>
      </w:r>
      <w:r>
        <w:drawing>
          <wp:inline>
            <wp:extent cx="5486400" cy="1567542"/>
            <wp:effectExtent b="0" l="0" r="0" t="0"/>
            <wp:docPr descr="Data Flow" title="" id="30" name="Picture"/>
            <a:graphic>
              <a:graphicData uri="http://schemas.openxmlformats.org/drawingml/2006/picture">
                <pic:pic>
                  <pic:nvPicPr>
                    <pic:cNvPr descr="img/data-flow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67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Data Model (High-Level)</w:t>
      </w:r>
      <w:r>
        <w:t xml:space="preserve"> </w:t>
      </w:r>
      <w:r>
        <w:drawing>
          <wp:inline>
            <wp:extent cx="5486400" cy="2407297"/>
            <wp:effectExtent b="0" l="0" r="0" t="0"/>
            <wp:docPr descr="Data Model" title="" id="33" name="Picture"/>
            <a:graphic>
              <a:graphicData uri="http://schemas.openxmlformats.org/drawingml/2006/picture">
                <pic:pic>
                  <pic:nvPicPr>
                    <pic:cNvPr descr="img/data-model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7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0"/>
        </w:numPr>
      </w:pPr>
      <w:r>
        <w:t xml:space="preserve">Data Migration &amp; Integration</w:t>
      </w:r>
      <w:r>
        <w:t xml:space="preserve"> </w:t>
      </w:r>
      <w:r>
        <w:t xml:space="preserve">Legacy Data Import: Tools for Excel/CSV migration.</w:t>
      </w:r>
    </w:p>
    <w:p>
      <w:pPr>
        <w:pStyle w:val="FirstParagraph"/>
      </w:pPr>
      <w:r>
        <w:t xml:space="preserve">Transformations: Python scripts to map old accounts and normalize data.</w:t>
      </w:r>
    </w:p>
    <w:p>
      <w:pPr>
        <w:pStyle w:val="BodyText"/>
      </w:pPr>
      <w:r>
        <w:t xml:space="preserve">External Integrations:</w:t>
      </w:r>
    </w:p>
    <w:p>
      <w:pPr>
        <w:pStyle w:val="Compact"/>
        <w:numPr>
          <w:ilvl w:val="0"/>
          <w:numId w:val="1011"/>
        </w:numPr>
      </w:pPr>
      <w:r>
        <w:t xml:space="preserve">Messaging (SMS/WhatsApp) for reminders.</w:t>
      </w:r>
    </w:p>
    <w:p>
      <w:pPr>
        <w:pStyle w:val="Compact"/>
        <w:numPr>
          <w:ilvl w:val="0"/>
          <w:numId w:val="1012"/>
        </w:numPr>
      </w:pPr>
      <w:r>
        <w:t xml:space="preserve">Testing &amp; Quality Assurance</w:t>
      </w:r>
      <w:r>
        <w:t xml:space="preserve"> </w:t>
      </w:r>
      <w:r>
        <w:t xml:space="preserve">Unit Testing: Automated validation of key backend functions (e.g., payroll calculation).</w:t>
      </w:r>
    </w:p>
    <w:p>
      <w:pPr>
        <w:pStyle w:val="FirstParagraph"/>
      </w:pPr>
      <w:r>
        <w:t xml:space="preserve">Integration Testing: Ensure cross-module consistency (e.g., Sales → Inventory → Finance).</w:t>
      </w:r>
    </w:p>
    <w:p>
      <w:pPr>
        <w:pStyle w:val="BodyText"/>
      </w:pPr>
      <w:r>
        <w:t xml:space="preserve">User Acceptance Testing (UAT): In staging environment before rollout.</w:t>
      </w:r>
    </w:p>
    <w:p>
      <w:pPr>
        <w:pStyle w:val="BodyText"/>
      </w:pPr>
      <w:r>
        <w:t xml:space="preserve">CI/CD Pipeline</w:t>
      </w:r>
      <w:r>
        <w:t xml:space="preserve"> </w:t>
      </w:r>
      <w:r>
        <w:drawing>
          <wp:inline>
            <wp:extent cx="5486400" cy="944724"/>
            <wp:effectExtent b="0" l="0" r="0" t="0"/>
            <wp:docPr descr="CI/CD" title="" id="36" name="Picture"/>
            <a:graphic>
              <a:graphicData uri="http://schemas.openxmlformats.org/drawingml/2006/picture">
                <pic:pic>
                  <pic:nvPicPr>
                    <pic:cNvPr descr="img/ci-cd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44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3"/>
        </w:numPr>
      </w:pPr>
      <w:r>
        <w:t xml:space="preserve">Deployment &amp; Maintenance</w:t>
      </w:r>
      <w:r>
        <w:t xml:space="preserve"> </w:t>
      </w:r>
      <w:r>
        <w:t xml:space="preserve">Cloud/On-Premise Deployment depending on BFH’s preference.</w:t>
      </w:r>
    </w:p>
    <w:p>
      <w:pPr>
        <w:pStyle w:val="FirstParagraph"/>
      </w:pPr>
      <w:r>
        <w:t xml:space="preserve">Automated Daily Backups stored securely.</w:t>
      </w:r>
    </w:p>
    <w:p>
      <w:pPr>
        <w:pStyle w:val="BodyText"/>
      </w:pPr>
      <w:r>
        <w:t xml:space="preserve">System Monitoring with alerts for downtime, errors, or unusual activity.</w:t>
      </w:r>
    </w:p>
    <w:p>
      <w:pPr>
        <w:pStyle w:val="BodyText"/>
      </w:pPr>
      <w:r>
        <w:t xml:space="preserve">Ongoing Support with patches and module extensions as BFH grows.</w:t>
      </w:r>
    </w:p>
    <w:p>
      <w:pPr>
        <w:pStyle w:val="Compact"/>
        <w:numPr>
          <w:ilvl w:val="0"/>
          <w:numId w:val="1014"/>
        </w:numPr>
      </w:pPr>
      <w:r>
        <w:t xml:space="preserve">Implementation Timeline</w:t>
      </w:r>
      <w:r>
        <w:t xml:space="preserve"> </w:t>
      </w:r>
      <w:r>
        <w:t xml:space="preserve">The following timeline assumes a 12–13 week delivery with overlapping workstreams to shorten elapsed time. Exact dates will be finalized during project kickoff.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(elapsed)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&amp;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walkthroughs, scope finalization, success metrics, project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 + BFH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scope, project plan, RACI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 &amp; Security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&amp; production environments, access control, backups,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environments, backup &amp; monitoring in 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Finance, Inventory, HR/Payroll, Sales baseline setup; master data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Configured modules, data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Migration (Cycle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CoA, Items, Customers, Suppliers, Opening Balances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 + BFH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Loaded masters &amp; openings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Customizations &amp;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Forms, workflows, print formats, KPIs, role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custom features &amp;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SMS/WhatsApp, payments/bank feeds, sensors (if in scope)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6–8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 (User Acceptance Testing)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scenario testing in Staging, defect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8–10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BFH + 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UAT sign‑off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training, quick reference 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9–10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Trained users, training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Go‑Live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cutover, opening balances, final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On‑demand support, defect resolution, daily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12–13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Stabilized operations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t xml:space="preserve">Costing (Budgetary Estimate)</w:t>
      </w:r>
      <w:r>
        <w:t xml:space="preserve"> </w:t>
      </w:r>
      <w:r>
        <w:t xml:space="preserve">All figures are indicative in USD and will be refined after Discovery. Currency can be adjusted.</w:t>
      </w:r>
    </w:p>
    <w:p>
      <w:pPr>
        <w:pStyle w:val="FirstParagraph"/>
      </w:pPr>
      <w:r>
        <w:t xml:space="preserve">One‑Time Implementation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&amp;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Workshops, process mapping, delivery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 &amp; Security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Staging/Prod setup, backups,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Finance, Inventory, HR/Payroll,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Migration (up to agreed volumes)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Masters, openings, one trial + one final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Customizations &amp;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Forms, workflows, 6 reports/prints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Integrations (basic)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SMS/WhatsApp, banking/payment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role-based sessions +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Go‑Live &amp; Hypercare (2 weeks)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Cutover support and stabilization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 (approx. 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One‑Time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19,000</w:t>
            </w:r>
          </w:p>
        </w:tc>
      </w:tr>
    </w:tbl>
    <w:p>
      <w:pPr>
        <w:pStyle w:val="BodyText"/>
      </w:pPr>
      <w:r>
        <w:t xml:space="preserve">Recurring (Monthly)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(USD/Month)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Hosting &amp;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Compute, storage, encrypted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&amp;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 and error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SLA (Business Hours)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handling, minor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Monthly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550</w:t>
            </w:r>
          </w:p>
        </w:tc>
      </w:tr>
    </w:tbl>
    <w:p>
      <w:pPr>
        <w:pStyle w:val="BodyText"/>
      </w:pPr>
      <w:r>
        <w:t xml:space="preserve">Assumptions &amp; Exclusions</w:t>
      </w:r>
    </w:p>
    <w:p>
      <w:pPr>
        <w:pStyle w:val="Compact"/>
        <w:numPr>
          <w:ilvl w:val="0"/>
          <w:numId w:val="1016"/>
        </w:numPr>
      </w:pPr>
      <w:r>
        <w:t xml:space="preserve">Data migration includes one trial and one final load; additional cycles billed T&amp;M.</w:t>
      </w:r>
    </w:p>
    <w:p>
      <w:pPr>
        <w:pStyle w:val="Compact"/>
        <w:numPr>
          <w:ilvl w:val="0"/>
          <w:numId w:val="1016"/>
        </w:numPr>
      </w:pPr>
      <w:r>
        <w:t xml:space="preserve">Up to 6 reports/print formats included; extras estimated separately.</w:t>
      </w:r>
    </w:p>
    <w:p>
      <w:pPr>
        <w:pStyle w:val="Compact"/>
        <w:numPr>
          <w:ilvl w:val="0"/>
          <w:numId w:val="1016"/>
        </w:numPr>
      </w:pPr>
      <w:r>
        <w:t xml:space="preserve">Third‑party fees (SMS credits, payment gateway, bank APIs) are billed by providers.</w:t>
      </w:r>
    </w:p>
    <w:p>
      <w:pPr>
        <w:pStyle w:val="Compact"/>
        <w:numPr>
          <w:ilvl w:val="0"/>
          <w:numId w:val="1016"/>
        </w:numPr>
      </w:pPr>
      <w:r>
        <w:t xml:space="preserve">On‑site travel (if requested) billed at cost.</w:t>
      </w:r>
    </w:p>
    <w:p>
      <w:pPr>
        <w:pStyle w:val="Compact"/>
        <w:numPr>
          <w:ilvl w:val="0"/>
          <w:numId w:val="1016"/>
        </w:numPr>
      </w:pPr>
      <w:r>
        <w:t xml:space="preserve">Production scale sized for typical BFH usage; significant scale‑up may change hosting.</w:t>
      </w:r>
    </w:p>
    <w:p>
      <w:pPr>
        <w:pStyle w:val="FirstParagraph"/>
      </w:pPr>
      <w:r>
        <w:t xml:space="preserve">Commercial Terms (Sample)</w:t>
      </w:r>
    </w:p>
    <w:p>
      <w:pPr>
        <w:pStyle w:val="Compact"/>
        <w:numPr>
          <w:ilvl w:val="0"/>
          <w:numId w:val="1017"/>
        </w:numPr>
      </w:pPr>
      <w:r>
        <w:t xml:space="preserve">Payment Milestones: 40% on kickoff, 40% at UAT sign‑off, 20% at go‑live.</w:t>
      </w:r>
    </w:p>
    <w:p>
      <w:pPr>
        <w:pStyle w:val="Compact"/>
        <w:numPr>
          <w:ilvl w:val="0"/>
          <w:numId w:val="1017"/>
        </w:numPr>
      </w:pPr>
      <w:r>
        <w:t xml:space="preserve">Invoices due net 15 days. Prices exclude taxes.</w:t>
      </w:r>
    </w:p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Montserrat" w:eastAsia="Montserrat" w:hAnsi="Montserrat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Montserrat" w:asciiTheme="majorHAnsi" w:cstheme="majorBidi" w:eastAsia="Montserrat" w:eastAsiaTheme="majorEastAsia" w:hAnsi="Montserrat" w:hAnsiTheme="majorHAnsi"/>
      <w:b/>
      <w:bCs/>
      <w:color w:themeColor="accent1" w:themeShade="BF" w:val="365F91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Montserrat" w:asciiTheme="majorHAnsi" w:cstheme="majorBidi" w:eastAsia="Montserrat" w:eastAsiaTheme="majorEastAsia" w:hAnsi="Montserrat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Montserrat" w:asciiTheme="majorHAnsi" w:cstheme="majorBidi" w:eastAsia="Montserrat" w:eastAsiaTheme="majorEastAsia" w:hAnsi="Montserrat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2025-09-15T13:04:33Z</dcterms:created>
  <dcterms:modified xsi:type="dcterms:W3CDTF">2025-09-15T13:04:33Z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