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8845B" w14:textId="77777777" w:rsidR="00A10957" w:rsidRPr="00D665EE" w:rsidRDefault="00F4083B">
      <w:pPr>
        <w:jc w:val="center"/>
        <w:rPr>
          <w:rFonts w:asciiTheme="majorHAnsi" w:eastAsia="Proxima Nova" w:hAnsiTheme="majorHAnsi" w:cstheme="majorHAnsi"/>
          <w:b/>
          <w:sz w:val="72"/>
          <w:szCs w:val="72"/>
        </w:rPr>
      </w:pPr>
      <w:r w:rsidRPr="00D665EE">
        <w:rPr>
          <w:rFonts w:asciiTheme="majorHAnsi" w:eastAsia="Proxima Nova" w:hAnsiTheme="majorHAnsi" w:cstheme="majorHAnsi"/>
          <w:b/>
          <w:sz w:val="72"/>
          <w:szCs w:val="72"/>
        </w:rPr>
        <w:t>Rohingya Refugee Crisis</w:t>
      </w:r>
    </w:p>
    <w:p w14:paraId="56EA5DF1" w14:textId="77777777" w:rsidR="00A10957" w:rsidRPr="00D665EE" w:rsidRDefault="00F4083B">
      <w:pPr>
        <w:jc w:val="center"/>
        <w:rPr>
          <w:rFonts w:asciiTheme="majorHAnsi" w:eastAsia="Proxima Nova" w:hAnsiTheme="majorHAnsi" w:cstheme="majorHAnsi"/>
          <w:b/>
          <w:sz w:val="72"/>
          <w:szCs w:val="72"/>
        </w:rPr>
      </w:pPr>
      <w:r w:rsidRPr="00D665EE">
        <w:rPr>
          <w:rFonts w:asciiTheme="majorHAnsi" w:eastAsia="Proxima Nova" w:hAnsiTheme="majorHAnsi" w:cstheme="majorHAnsi"/>
          <w:b/>
          <w:sz w:val="72"/>
          <w:szCs w:val="72"/>
        </w:rPr>
        <w:t>Joint Response Plan 2020</w:t>
      </w:r>
    </w:p>
    <w:p w14:paraId="0605900D" w14:textId="195A3830" w:rsidR="00A10957" w:rsidRPr="00D665EE" w:rsidRDefault="00A10957">
      <w:pPr>
        <w:rPr>
          <w:rFonts w:asciiTheme="majorHAnsi" w:eastAsia="Proxima Nova" w:hAnsiTheme="majorHAnsi" w:cstheme="majorHAnsi"/>
        </w:rPr>
      </w:pPr>
      <w:bookmarkStart w:id="0" w:name="_gjdgxs" w:colFirst="0" w:colLast="0"/>
      <w:bookmarkEnd w:id="0"/>
    </w:p>
    <w:p w14:paraId="1E73F7B3" w14:textId="77777777" w:rsidR="00A10957" w:rsidRPr="00D665EE" w:rsidRDefault="00F4083B">
      <w:pPr>
        <w:pStyle w:val="Heading1"/>
        <w:rPr>
          <w:rFonts w:asciiTheme="majorHAnsi" w:hAnsiTheme="majorHAnsi" w:cstheme="majorHAnsi"/>
        </w:rPr>
      </w:pPr>
      <w:bookmarkStart w:id="1" w:name="_3j2qqm3" w:colFirst="0" w:colLast="0"/>
      <w:bookmarkEnd w:id="1"/>
      <w:r w:rsidRPr="00D665EE">
        <w:rPr>
          <w:rFonts w:asciiTheme="majorHAnsi" w:hAnsiTheme="majorHAnsi" w:cstheme="majorHAnsi"/>
        </w:rPr>
        <w:t>Education</w:t>
      </w:r>
    </w:p>
    <w:p w14:paraId="61F2519C" w14:textId="77777777" w:rsidR="00A10957" w:rsidRPr="00D665EE" w:rsidRDefault="00F4083B">
      <w:pPr>
        <w:pStyle w:val="Heading2"/>
        <w:rPr>
          <w:rFonts w:asciiTheme="majorHAnsi" w:hAnsiTheme="majorHAnsi" w:cstheme="majorHAnsi"/>
        </w:rPr>
      </w:pPr>
      <w:bookmarkStart w:id="2" w:name="_1y810tw" w:colFirst="0" w:colLast="0"/>
      <w:bookmarkEnd w:id="2"/>
      <w:r w:rsidRPr="00D665EE">
        <w:rPr>
          <w:rFonts w:asciiTheme="majorHAnsi" w:hAnsiTheme="majorHAnsi" w:cstheme="majorHAnsi"/>
        </w:rPr>
        <w:t xml:space="preserve"> </w:t>
      </w:r>
    </w:p>
    <w:tbl>
      <w:tblPr>
        <w:tblStyle w:val="aa"/>
        <w:tblW w:w="9350" w:type="dxa"/>
        <w:jc w:val="center"/>
        <w:tblBorders>
          <w:top w:val="nil"/>
          <w:left w:val="nil"/>
          <w:bottom w:val="nil"/>
          <w:right w:val="nil"/>
          <w:insideH w:val="nil"/>
          <w:insideV w:val="nil"/>
        </w:tblBorders>
        <w:tblLayout w:type="fixed"/>
        <w:tblLook w:val="0400" w:firstRow="0" w:lastRow="0" w:firstColumn="0" w:lastColumn="0" w:noHBand="0" w:noVBand="1"/>
      </w:tblPr>
      <w:tblGrid>
        <w:gridCol w:w="2970"/>
        <w:gridCol w:w="6380"/>
      </w:tblGrid>
      <w:tr w:rsidR="00A10957" w:rsidRPr="00764798" w14:paraId="517FA6B7" w14:textId="77777777">
        <w:trPr>
          <w:trHeight w:val="240"/>
          <w:jc w:val="center"/>
        </w:trPr>
        <w:tc>
          <w:tcPr>
            <w:tcW w:w="2970" w:type="dxa"/>
          </w:tcPr>
          <w:p w14:paraId="2831C7BB" w14:textId="77777777" w:rsidR="00A10957" w:rsidRPr="00764798" w:rsidRDefault="00F4083B">
            <w:pPr>
              <w:spacing w:line="360" w:lineRule="auto"/>
              <w:rPr>
                <w:rFonts w:asciiTheme="majorHAnsi" w:eastAsia="Proxima Nova" w:hAnsiTheme="majorHAnsi" w:cstheme="majorHAnsi"/>
                <w:sz w:val="20"/>
                <w:szCs w:val="20"/>
              </w:rPr>
            </w:pPr>
            <w:r w:rsidRPr="00764798">
              <w:rPr>
                <w:rFonts w:asciiTheme="majorHAnsi" w:eastAsia="Proxima Nova" w:hAnsiTheme="majorHAnsi" w:cstheme="majorHAnsi"/>
                <w:sz w:val="20"/>
                <w:szCs w:val="20"/>
              </w:rPr>
              <w:t>Sector Co-Lead Agencies:</w:t>
            </w:r>
          </w:p>
        </w:tc>
        <w:tc>
          <w:tcPr>
            <w:tcW w:w="6380" w:type="dxa"/>
          </w:tcPr>
          <w:p w14:paraId="18C826A7" w14:textId="77777777" w:rsidR="00A10957" w:rsidRPr="00764798" w:rsidRDefault="00F4083B">
            <w:pPr>
              <w:spacing w:line="360" w:lineRule="auto"/>
              <w:jc w:val="both"/>
              <w:rPr>
                <w:rFonts w:asciiTheme="majorHAnsi" w:eastAsia="Proxima Nova" w:hAnsiTheme="majorHAnsi" w:cstheme="majorHAnsi"/>
                <w:sz w:val="20"/>
                <w:szCs w:val="20"/>
              </w:rPr>
            </w:pPr>
            <w:r w:rsidRPr="00764798">
              <w:rPr>
                <w:rFonts w:asciiTheme="majorHAnsi" w:eastAsia="Proxima Nova" w:hAnsiTheme="majorHAnsi" w:cstheme="majorHAnsi"/>
                <w:sz w:val="20"/>
                <w:szCs w:val="20"/>
              </w:rPr>
              <w:t>UNICEF / Save the Children</w:t>
            </w:r>
          </w:p>
        </w:tc>
      </w:tr>
      <w:tr w:rsidR="00A10957" w:rsidRPr="00764798" w14:paraId="44269F0D" w14:textId="77777777">
        <w:trPr>
          <w:jc w:val="center"/>
        </w:trPr>
        <w:tc>
          <w:tcPr>
            <w:tcW w:w="2970" w:type="dxa"/>
          </w:tcPr>
          <w:p w14:paraId="292B905A" w14:textId="77777777" w:rsidR="00A10957" w:rsidRPr="00764798" w:rsidRDefault="00F4083B">
            <w:pPr>
              <w:spacing w:line="360" w:lineRule="auto"/>
              <w:rPr>
                <w:rFonts w:asciiTheme="majorHAnsi" w:eastAsia="Proxima Nova" w:hAnsiTheme="majorHAnsi" w:cstheme="majorHAnsi"/>
                <w:i/>
                <w:sz w:val="20"/>
                <w:szCs w:val="20"/>
              </w:rPr>
            </w:pPr>
            <w:r w:rsidRPr="00764798">
              <w:rPr>
                <w:rFonts w:asciiTheme="majorHAnsi" w:eastAsia="Proxima Nova" w:hAnsiTheme="majorHAnsi" w:cstheme="majorHAnsi"/>
                <w:color w:val="000000"/>
                <w:sz w:val="20"/>
                <w:szCs w:val="20"/>
              </w:rPr>
              <w:t>Government of Bangladesh:</w:t>
            </w:r>
          </w:p>
        </w:tc>
        <w:tc>
          <w:tcPr>
            <w:tcW w:w="6380" w:type="dxa"/>
          </w:tcPr>
          <w:p w14:paraId="074D8652" w14:textId="4B0D4405" w:rsidR="00A10957" w:rsidRPr="00764798" w:rsidRDefault="00F4083B">
            <w:pPr>
              <w:spacing w:line="360" w:lineRule="auto"/>
              <w:jc w:val="both"/>
              <w:rPr>
                <w:rFonts w:asciiTheme="majorHAnsi" w:eastAsia="Proxima Nova" w:hAnsiTheme="majorHAnsi" w:cstheme="majorHAnsi"/>
                <w:sz w:val="20"/>
                <w:szCs w:val="20"/>
              </w:rPr>
            </w:pPr>
            <w:r w:rsidRPr="00764798">
              <w:rPr>
                <w:rFonts w:asciiTheme="majorHAnsi" w:eastAsia="Proxima Nova" w:hAnsiTheme="majorHAnsi" w:cstheme="majorHAnsi"/>
                <w:color w:val="000000"/>
                <w:sz w:val="20"/>
                <w:szCs w:val="20"/>
              </w:rPr>
              <w:t>Ministry</w:t>
            </w:r>
            <w:r w:rsidR="00FD633D" w:rsidRPr="00764798">
              <w:rPr>
                <w:rFonts w:asciiTheme="majorHAnsi" w:eastAsia="Proxima Nova" w:hAnsiTheme="majorHAnsi" w:cstheme="majorHAnsi"/>
                <w:color w:val="000000"/>
                <w:sz w:val="20"/>
                <w:szCs w:val="20"/>
              </w:rPr>
              <w:t xml:space="preserve"> </w:t>
            </w:r>
            <w:r w:rsidRPr="00764798">
              <w:rPr>
                <w:rFonts w:asciiTheme="majorHAnsi" w:eastAsia="Proxima Nova" w:hAnsiTheme="majorHAnsi" w:cstheme="majorHAnsi"/>
                <w:color w:val="000000"/>
                <w:sz w:val="20"/>
                <w:szCs w:val="20"/>
              </w:rPr>
              <w:t>of Primary and Mass Education (Dhaka)</w:t>
            </w:r>
            <w:r w:rsidR="008160B8">
              <w:rPr>
                <w:rFonts w:asciiTheme="majorHAnsi" w:eastAsia="Proxima Nova" w:hAnsiTheme="majorHAnsi" w:cstheme="majorHAnsi"/>
                <w:color w:val="000000"/>
                <w:sz w:val="20"/>
                <w:szCs w:val="20"/>
              </w:rPr>
              <w:t xml:space="preserve">, </w:t>
            </w:r>
            <w:r w:rsidRPr="00764798">
              <w:rPr>
                <w:rFonts w:asciiTheme="majorHAnsi" w:eastAsia="Proxima Nova" w:hAnsiTheme="majorHAnsi" w:cstheme="majorHAnsi"/>
                <w:color w:val="000000"/>
                <w:sz w:val="20"/>
                <w:szCs w:val="20"/>
              </w:rPr>
              <w:t>Additional District Commissioner, Education/ICT (</w:t>
            </w:r>
            <w:r w:rsidR="008160B8">
              <w:rPr>
                <w:rFonts w:asciiTheme="majorHAnsi" w:eastAsia="Proxima Nova" w:hAnsiTheme="majorHAnsi" w:cstheme="majorHAnsi"/>
                <w:color w:val="000000"/>
                <w:sz w:val="20"/>
                <w:szCs w:val="20"/>
              </w:rPr>
              <w:t xml:space="preserve">ADC, </w:t>
            </w:r>
            <w:r w:rsidRPr="00764798">
              <w:rPr>
                <w:rFonts w:asciiTheme="majorHAnsi" w:eastAsia="Proxima Nova" w:hAnsiTheme="majorHAnsi" w:cstheme="majorHAnsi"/>
                <w:color w:val="000000"/>
                <w:sz w:val="20"/>
                <w:szCs w:val="20"/>
              </w:rPr>
              <w:t>Cox’s Bazar)</w:t>
            </w:r>
            <w:r w:rsidR="008160B8">
              <w:rPr>
                <w:rFonts w:asciiTheme="majorHAnsi" w:eastAsia="Proxima Nova" w:hAnsiTheme="majorHAnsi" w:cstheme="majorHAnsi"/>
                <w:color w:val="000000"/>
                <w:sz w:val="20"/>
                <w:szCs w:val="20"/>
              </w:rPr>
              <w:t xml:space="preserve">, </w:t>
            </w:r>
            <w:r w:rsidR="008160B8" w:rsidRPr="008160B8">
              <w:rPr>
                <w:rFonts w:asciiTheme="majorHAnsi" w:eastAsia="Proxima Nova" w:hAnsiTheme="majorHAnsi" w:cstheme="majorHAnsi"/>
                <w:color w:val="000000"/>
                <w:sz w:val="20"/>
                <w:szCs w:val="20"/>
              </w:rPr>
              <w:t xml:space="preserve">District Primary Education Officer </w:t>
            </w:r>
            <w:r w:rsidR="008160B8" w:rsidRPr="00764798">
              <w:rPr>
                <w:rFonts w:asciiTheme="majorHAnsi" w:eastAsia="Proxima Nova" w:hAnsiTheme="majorHAnsi" w:cstheme="majorHAnsi"/>
                <w:color w:val="000000"/>
                <w:sz w:val="20"/>
                <w:szCs w:val="20"/>
              </w:rPr>
              <w:t>(</w:t>
            </w:r>
            <w:r w:rsidR="008160B8">
              <w:rPr>
                <w:rFonts w:asciiTheme="majorHAnsi" w:eastAsia="Proxima Nova" w:hAnsiTheme="majorHAnsi" w:cstheme="majorHAnsi"/>
                <w:color w:val="000000"/>
                <w:sz w:val="20"/>
                <w:szCs w:val="20"/>
              </w:rPr>
              <w:t xml:space="preserve">DPEO, </w:t>
            </w:r>
            <w:r w:rsidR="008160B8" w:rsidRPr="00764798">
              <w:rPr>
                <w:rFonts w:asciiTheme="majorHAnsi" w:eastAsia="Proxima Nova" w:hAnsiTheme="majorHAnsi" w:cstheme="majorHAnsi"/>
                <w:color w:val="000000"/>
                <w:sz w:val="20"/>
                <w:szCs w:val="20"/>
              </w:rPr>
              <w:t>Cox’s Bazar)</w:t>
            </w:r>
            <w:r w:rsidR="008160B8">
              <w:rPr>
                <w:rFonts w:asciiTheme="majorHAnsi" w:eastAsia="Proxima Nova" w:hAnsiTheme="majorHAnsi" w:cstheme="majorHAnsi"/>
                <w:color w:val="000000"/>
                <w:sz w:val="20"/>
                <w:szCs w:val="20"/>
              </w:rPr>
              <w:t xml:space="preserve"> </w:t>
            </w:r>
            <w:r w:rsidR="008160B8" w:rsidRPr="008160B8">
              <w:rPr>
                <w:rFonts w:asciiTheme="majorHAnsi" w:eastAsia="Proxima Nova" w:hAnsiTheme="majorHAnsi" w:cstheme="majorHAnsi"/>
                <w:color w:val="000000"/>
                <w:sz w:val="20"/>
                <w:szCs w:val="20"/>
              </w:rPr>
              <w:t>and District Education Officer</w:t>
            </w:r>
            <w:r w:rsidR="008160B8">
              <w:rPr>
                <w:rFonts w:asciiTheme="majorHAnsi" w:eastAsia="Proxima Nova" w:hAnsiTheme="majorHAnsi" w:cstheme="majorHAnsi"/>
                <w:color w:val="000000"/>
                <w:sz w:val="20"/>
                <w:szCs w:val="20"/>
              </w:rPr>
              <w:t xml:space="preserve"> </w:t>
            </w:r>
            <w:r w:rsidR="008160B8" w:rsidRPr="00764798">
              <w:rPr>
                <w:rFonts w:asciiTheme="majorHAnsi" w:eastAsia="Proxima Nova" w:hAnsiTheme="majorHAnsi" w:cstheme="majorHAnsi"/>
                <w:color w:val="000000"/>
                <w:sz w:val="20"/>
                <w:szCs w:val="20"/>
              </w:rPr>
              <w:t>(</w:t>
            </w:r>
            <w:r w:rsidR="008160B8">
              <w:rPr>
                <w:rFonts w:asciiTheme="majorHAnsi" w:eastAsia="Proxima Nova" w:hAnsiTheme="majorHAnsi" w:cstheme="majorHAnsi"/>
                <w:color w:val="000000"/>
                <w:sz w:val="20"/>
                <w:szCs w:val="20"/>
              </w:rPr>
              <w:t xml:space="preserve">DEO, </w:t>
            </w:r>
            <w:r w:rsidR="008160B8" w:rsidRPr="00764798">
              <w:rPr>
                <w:rFonts w:asciiTheme="majorHAnsi" w:eastAsia="Proxima Nova" w:hAnsiTheme="majorHAnsi" w:cstheme="majorHAnsi"/>
                <w:color w:val="000000"/>
                <w:sz w:val="20"/>
                <w:szCs w:val="20"/>
              </w:rPr>
              <w:t>Cox’s Bazar)</w:t>
            </w:r>
          </w:p>
        </w:tc>
      </w:tr>
      <w:tr w:rsidR="00A10957" w:rsidRPr="00764798" w14:paraId="04E55C12" w14:textId="77777777">
        <w:trPr>
          <w:jc w:val="center"/>
        </w:trPr>
        <w:tc>
          <w:tcPr>
            <w:tcW w:w="2970" w:type="dxa"/>
          </w:tcPr>
          <w:p w14:paraId="18B09675" w14:textId="77777777" w:rsidR="00A10957" w:rsidRPr="00764798" w:rsidRDefault="00F4083B" w:rsidP="00FD633D">
            <w:pPr>
              <w:pBdr>
                <w:top w:val="nil"/>
                <w:left w:val="nil"/>
                <w:bottom w:val="nil"/>
                <w:right w:val="nil"/>
                <w:between w:val="nil"/>
              </w:pBdr>
              <w:spacing w:line="360" w:lineRule="auto"/>
              <w:ind w:left="142" w:right="0"/>
              <w:rPr>
                <w:rFonts w:asciiTheme="majorHAnsi" w:eastAsia="Proxima Nova" w:hAnsiTheme="majorHAnsi" w:cstheme="majorHAnsi"/>
                <w:color w:val="000000"/>
                <w:sz w:val="20"/>
                <w:szCs w:val="20"/>
              </w:rPr>
            </w:pPr>
            <w:r w:rsidRPr="00764798">
              <w:rPr>
                <w:rFonts w:asciiTheme="majorHAnsi" w:eastAsia="Proxima Nova" w:hAnsiTheme="majorHAnsi" w:cstheme="majorHAnsi"/>
                <w:color w:val="000000"/>
                <w:sz w:val="20"/>
                <w:szCs w:val="20"/>
              </w:rPr>
              <w:t>Sector Coordinator:</w:t>
            </w:r>
          </w:p>
        </w:tc>
        <w:tc>
          <w:tcPr>
            <w:tcW w:w="6380" w:type="dxa"/>
          </w:tcPr>
          <w:p w14:paraId="4988CD16" w14:textId="77777777" w:rsidR="00A10957" w:rsidRPr="00764798" w:rsidRDefault="00F4083B">
            <w:pPr>
              <w:tabs>
                <w:tab w:val="left" w:pos="1290"/>
              </w:tabs>
              <w:spacing w:line="360" w:lineRule="auto"/>
              <w:jc w:val="both"/>
              <w:rPr>
                <w:rFonts w:asciiTheme="majorHAnsi" w:eastAsia="Proxima Nova" w:hAnsiTheme="majorHAnsi" w:cstheme="majorHAnsi"/>
                <w:color w:val="000000"/>
                <w:sz w:val="20"/>
                <w:szCs w:val="20"/>
              </w:rPr>
            </w:pPr>
            <w:r w:rsidRPr="00764798">
              <w:rPr>
                <w:rFonts w:asciiTheme="majorHAnsi" w:eastAsia="Proxima Nova" w:hAnsiTheme="majorHAnsi" w:cstheme="majorHAnsi"/>
                <w:color w:val="000000"/>
                <w:sz w:val="20"/>
                <w:szCs w:val="20"/>
              </w:rPr>
              <w:t xml:space="preserve">Frederic Vincent, </w:t>
            </w:r>
            <w:hyperlink r:id="rId7">
              <w:r w:rsidRPr="00764798">
                <w:rPr>
                  <w:rFonts w:asciiTheme="majorHAnsi" w:eastAsia="Proxima Nova" w:hAnsiTheme="majorHAnsi" w:cstheme="majorHAnsi"/>
                  <w:color w:val="0563C1"/>
                  <w:sz w:val="20"/>
                  <w:szCs w:val="20"/>
                  <w:u w:val="single"/>
                </w:rPr>
                <w:t>edusector.cxb@humanitarianresponse.info</w:t>
              </w:r>
            </w:hyperlink>
            <w:r w:rsidRPr="00764798">
              <w:rPr>
                <w:rFonts w:asciiTheme="majorHAnsi" w:eastAsia="Proxima Nova" w:hAnsiTheme="majorHAnsi" w:cstheme="majorHAnsi"/>
                <w:color w:val="000000"/>
                <w:sz w:val="20"/>
                <w:szCs w:val="20"/>
              </w:rPr>
              <w:t xml:space="preserve">  </w:t>
            </w:r>
          </w:p>
          <w:p w14:paraId="2030A2E1" w14:textId="77777777" w:rsidR="00A10957" w:rsidRPr="00764798" w:rsidRDefault="00F4083B">
            <w:pPr>
              <w:tabs>
                <w:tab w:val="left" w:pos="1290"/>
              </w:tabs>
              <w:spacing w:line="360" w:lineRule="auto"/>
              <w:jc w:val="both"/>
              <w:rPr>
                <w:rFonts w:asciiTheme="majorHAnsi" w:eastAsia="Proxima Nova" w:hAnsiTheme="majorHAnsi" w:cstheme="majorHAnsi"/>
                <w:color w:val="000000"/>
                <w:sz w:val="20"/>
                <w:szCs w:val="20"/>
              </w:rPr>
            </w:pPr>
            <w:r w:rsidRPr="00764798">
              <w:rPr>
                <w:rFonts w:asciiTheme="majorHAnsi" w:eastAsia="Proxima Nova" w:hAnsiTheme="majorHAnsi" w:cstheme="majorHAnsi"/>
                <w:color w:val="000000"/>
                <w:sz w:val="20"/>
                <w:szCs w:val="20"/>
              </w:rPr>
              <w:t xml:space="preserve">Sagar Gyawali, </w:t>
            </w:r>
            <w:r w:rsidRPr="00764798">
              <w:rPr>
                <w:rFonts w:asciiTheme="majorHAnsi" w:eastAsia="Proxima Nova" w:hAnsiTheme="majorHAnsi" w:cstheme="majorHAnsi"/>
                <w:color w:val="0563C1"/>
                <w:sz w:val="20"/>
                <w:szCs w:val="20"/>
                <w:u w:val="single"/>
              </w:rPr>
              <w:t>lcfa.cxb@humanitarianresponse.info</w:t>
            </w:r>
          </w:p>
        </w:tc>
      </w:tr>
    </w:tbl>
    <w:p w14:paraId="6E09D935" w14:textId="77777777" w:rsidR="00A10957" w:rsidRPr="00D665EE" w:rsidRDefault="00A10957">
      <w:pPr>
        <w:pStyle w:val="Heading2"/>
        <w:rPr>
          <w:rFonts w:asciiTheme="majorHAnsi" w:hAnsiTheme="majorHAnsi" w:cstheme="majorHAnsi"/>
        </w:rPr>
      </w:pPr>
    </w:p>
    <w:p w14:paraId="03EF2AF4" w14:textId="094F7A48" w:rsidR="00764798" w:rsidRPr="00764798" w:rsidRDefault="00F4083B" w:rsidP="00764798">
      <w:pPr>
        <w:pStyle w:val="Heading2"/>
        <w:spacing w:before="0" w:after="120"/>
        <w:rPr>
          <w:rFonts w:asciiTheme="majorHAnsi" w:hAnsiTheme="majorHAnsi" w:cstheme="majorHAnsi"/>
          <w:sz w:val="24"/>
          <w:szCs w:val="24"/>
        </w:rPr>
      </w:pPr>
      <w:r w:rsidRPr="00764798">
        <w:rPr>
          <w:rFonts w:asciiTheme="majorHAnsi" w:hAnsiTheme="majorHAnsi" w:cstheme="majorHAnsi"/>
          <w:sz w:val="24"/>
          <w:szCs w:val="24"/>
        </w:rPr>
        <w:t>4.1 People in need and targeted</w:t>
      </w:r>
    </w:p>
    <w:tbl>
      <w:tblPr>
        <w:tblStyle w:val="ab"/>
        <w:tblW w:w="9796" w:type="dxa"/>
        <w:tblInd w:w="-4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94"/>
        <w:gridCol w:w="3551"/>
        <w:gridCol w:w="3551"/>
      </w:tblGrid>
      <w:tr w:rsidR="00A10957" w:rsidRPr="008774CA" w14:paraId="453B022A" w14:textId="77777777" w:rsidTr="00764798">
        <w:trPr>
          <w:trHeight w:val="1280"/>
        </w:trPr>
        <w:tc>
          <w:tcPr>
            <w:tcW w:w="2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6148E3" w14:textId="77777777" w:rsidR="00A10957" w:rsidRPr="008774CA" w:rsidRDefault="00F4083B">
            <w:pPr>
              <w:spacing w:after="60" w:line="240" w:lineRule="auto"/>
              <w:rPr>
                <w:rFonts w:asciiTheme="majorHAnsi" w:hAnsiTheme="majorHAnsi" w:cstheme="majorHAnsi"/>
                <w:sz w:val="18"/>
                <w:szCs w:val="18"/>
              </w:rPr>
            </w:pPr>
            <w:r w:rsidRPr="008774CA">
              <w:rPr>
                <w:rFonts w:asciiTheme="majorHAnsi" w:hAnsiTheme="majorHAnsi" w:cstheme="majorHAnsi"/>
                <w:sz w:val="18"/>
                <w:szCs w:val="18"/>
              </w:rPr>
              <w:t xml:space="preserve">Overall people in need of Sector assistance </w:t>
            </w:r>
          </w:p>
        </w:tc>
        <w:tc>
          <w:tcPr>
            <w:tcW w:w="7102"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14:paraId="6535F72B" w14:textId="43AC52BA" w:rsidR="00A10957" w:rsidRPr="008774CA" w:rsidRDefault="00F4083B">
            <w:pPr>
              <w:spacing w:after="60" w:line="240" w:lineRule="auto"/>
              <w:jc w:val="center"/>
              <w:rPr>
                <w:rFonts w:asciiTheme="majorHAnsi" w:hAnsiTheme="majorHAnsi" w:cstheme="majorHAnsi"/>
                <w:b/>
                <w:sz w:val="18"/>
                <w:szCs w:val="18"/>
              </w:rPr>
            </w:pPr>
            <w:r w:rsidRPr="008774CA">
              <w:rPr>
                <w:rFonts w:asciiTheme="majorHAnsi" w:hAnsiTheme="majorHAnsi" w:cstheme="majorHAnsi"/>
                <w:b/>
                <w:sz w:val="18"/>
                <w:szCs w:val="18"/>
              </w:rPr>
              <w:t>Total: 566,5</w:t>
            </w:r>
            <w:r w:rsidR="002C3533">
              <w:rPr>
                <w:rFonts w:asciiTheme="majorHAnsi" w:hAnsiTheme="majorHAnsi" w:cstheme="majorHAnsi"/>
                <w:b/>
                <w:sz w:val="18"/>
                <w:szCs w:val="18"/>
              </w:rPr>
              <w:t>6</w:t>
            </w:r>
            <w:bookmarkStart w:id="3" w:name="_GoBack"/>
            <w:bookmarkEnd w:id="3"/>
            <w:r w:rsidRPr="008774CA">
              <w:rPr>
                <w:rFonts w:asciiTheme="majorHAnsi" w:hAnsiTheme="majorHAnsi" w:cstheme="majorHAnsi"/>
                <w:b/>
                <w:sz w:val="18"/>
                <w:szCs w:val="18"/>
              </w:rPr>
              <w:t>9</w:t>
            </w:r>
          </w:p>
          <w:p w14:paraId="62580A21" w14:textId="77777777" w:rsidR="00A10957" w:rsidRPr="008774CA" w:rsidRDefault="00F4083B">
            <w:pPr>
              <w:spacing w:after="60" w:line="240" w:lineRule="auto"/>
              <w:rPr>
                <w:rFonts w:asciiTheme="majorHAnsi" w:hAnsiTheme="majorHAnsi" w:cstheme="majorHAnsi"/>
                <w:sz w:val="18"/>
                <w:szCs w:val="18"/>
              </w:rPr>
            </w:pPr>
            <w:r w:rsidRPr="008774CA">
              <w:rPr>
                <w:rFonts w:asciiTheme="majorHAnsi" w:hAnsiTheme="majorHAnsi" w:cstheme="majorHAnsi"/>
                <w:sz w:val="18"/>
                <w:szCs w:val="18"/>
              </w:rPr>
              <w:t>Rohingya community: 496,569 children, adolescents and youth aged 3-24 years old (51% girls / 49% boys)</w:t>
            </w:r>
          </w:p>
          <w:p w14:paraId="66898833" w14:textId="77777777" w:rsidR="00A10957" w:rsidRPr="008774CA" w:rsidRDefault="00F4083B">
            <w:pPr>
              <w:spacing w:after="60" w:line="240" w:lineRule="auto"/>
              <w:rPr>
                <w:rFonts w:asciiTheme="majorHAnsi" w:hAnsiTheme="majorHAnsi" w:cstheme="majorHAnsi"/>
                <w:sz w:val="18"/>
                <w:szCs w:val="18"/>
              </w:rPr>
            </w:pPr>
            <w:r w:rsidRPr="008774CA">
              <w:rPr>
                <w:rFonts w:asciiTheme="majorHAnsi" w:hAnsiTheme="majorHAnsi" w:cstheme="majorHAnsi"/>
                <w:sz w:val="18"/>
                <w:szCs w:val="18"/>
              </w:rPr>
              <w:t>Host community: 70,000 children, adolescents and youth aged 4-24 years old (51% girls / 49% boys)</w:t>
            </w:r>
          </w:p>
        </w:tc>
      </w:tr>
      <w:tr w:rsidR="00A10957" w:rsidRPr="008774CA" w14:paraId="3FA860BB" w14:textId="77777777" w:rsidTr="00764798">
        <w:trPr>
          <w:trHeight w:val="1260"/>
        </w:trPr>
        <w:tc>
          <w:tcPr>
            <w:tcW w:w="269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CEE5D8" w14:textId="47086983" w:rsidR="00A10957" w:rsidRPr="008774CA" w:rsidRDefault="00F4083B">
            <w:pPr>
              <w:spacing w:after="60" w:line="240" w:lineRule="auto"/>
              <w:rPr>
                <w:rFonts w:asciiTheme="majorHAnsi" w:hAnsiTheme="majorHAnsi" w:cstheme="majorHAnsi"/>
                <w:sz w:val="18"/>
                <w:szCs w:val="18"/>
              </w:rPr>
            </w:pPr>
            <w:r w:rsidRPr="008774CA">
              <w:rPr>
                <w:rFonts w:asciiTheme="majorHAnsi" w:hAnsiTheme="majorHAnsi" w:cstheme="majorHAnsi"/>
                <w:sz w:val="18"/>
                <w:szCs w:val="18"/>
              </w:rPr>
              <w:t xml:space="preserve">People targeted (individuals – by sex and age) </w:t>
            </w:r>
          </w:p>
          <w:p w14:paraId="3354481E" w14:textId="77777777" w:rsidR="00A10957" w:rsidRPr="008774CA" w:rsidRDefault="00F4083B">
            <w:pPr>
              <w:spacing w:after="60" w:line="240" w:lineRule="auto"/>
              <w:rPr>
                <w:rFonts w:asciiTheme="majorHAnsi" w:hAnsiTheme="majorHAnsi" w:cstheme="majorHAnsi"/>
                <w:sz w:val="18"/>
                <w:szCs w:val="18"/>
              </w:rPr>
            </w:pPr>
            <w:r w:rsidRPr="008774CA">
              <w:rPr>
                <w:rFonts w:asciiTheme="majorHAnsi" w:hAnsiTheme="majorHAnsi" w:cstheme="majorHAnsi"/>
                <w:sz w:val="18"/>
                <w:szCs w:val="18"/>
              </w:rPr>
              <w:t xml:space="preserve"> </w:t>
            </w:r>
          </w:p>
        </w:tc>
        <w:tc>
          <w:tcPr>
            <w:tcW w:w="7102"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35F66AA" w14:textId="77777777" w:rsidR="00A10957" w:rsidRPr="008774CA" w:rsidRDefault="00F4083B">
            <w:pPr>
              <w:spacing w:after="60" w:line="240" w:lineRule="auto"/>
              <w:jc w:val="center"/>
              <w:rPr>
                <w:rFonts w:asciiTheme="majorHAnsi" w:hAnsiTheme="majorHAnsi" w:cstheme="majorHAnsi"/>
                <w:b/>
                <w:sz w:val="18"/>
                <w:szCs w:val="18"/>
              </w:rPr>
            </w:pPr>
            <w:r w:rsidRPr="008774CA">
              <w:rPr>
                <w:rFonts w:asciiTheme="majorHAnsi" w:hAnsiTheme="majorHAnsi" w:cstheme="majorHAnsi"/>
                <w:b/>
                <w:sz w:val="18"/>
                <w:szCs w:val="18"/>
              </w:rPr>
              <w:t>Total: 421,760</w:t>
            </w:r>
          </w:p>
          <w:p w14:paraId="3DF25156" w14:textId="77777777" w:rsidR="00A10957" w:rsidRPr="008774CA" w:rsidRDefault="00F4083B">
            <w:pPr>
              <w:spacing w:after="60" w:line="240" w:lineRule="auto"/>
              <w:rPr>
                <w:rFonts w:asciiTheme="majorHAnsi" w:hAnsiTheme="majorHAnsi" w:cstheme="majorHAnsi"/>
                <w:sz w:val="18"/>
                <w:szCs w:val="18"/>
              </w:rPr>
            </w:pPr>
            <w:r w:rsidRPr="008774CA">
              <w:rPr>
                <w:rFonts w:asciiTheme="majorHAnsi" w:hAnsiTheme="majorHAnsi" w:cstheme="majorHAnsi"/>
                <w:sz w:val="18"/>
                <w:szCs w:val="18"/>
              </w:rPr>
              <w:t>Rohingya community: 375,913 children, adolescents and youth aged 3-24 years old (50% girls / 50% boys)</w:t>
            </w:r>
          </w:p>
          <w:p w14:paraId="14273852" w14:textId="77777777" w:rsidR="00A10957" w:rsidRPr="008774CA" w:rsidRDefault="00F4083B">
            <w:pPr>
              <w:spacing w:after="60" w:line="240" w:lineRule="auto"/>
              <w:rPr>
                <w:rFonts w:asciiTheme="majorHAnsi" w:hAnsiTheme="majorHAnsi" w:cstheme="majorHAnsi"/>
                <w:sz w:val="18"/>
                <w:szCs w:val="18"/>
              </w:rPr>
            </w:pPr>
            <w:r w:rsidRPr="008774CA">
              <w:rPr>
                <w:rFonts w:asciiTheme="majorHAnsi" w:hAnsiTheme="majorHAnsi" w:cstheme="majorHAnsi"/>
                <w:sz w:val="18"/>
                <w:szCs w:val="18"/>
              </w:rPr>
              <w:t>Host community: 45,847 children, adolescents and youth aged 4-24 years old (50% girls / 50% boys)</w:t>
            </w:r>
          </w:p>
        </w:tc>
      </w:tr>
      <w:tr w:rsidR="00A10957" w:rsidRPr="008774CA" w14:paraId="28378961" w14:textId="77777777" w:rsidTr="00060559">
        <w:trPr>
          <w:trHeight w:val="4705"/>
        </w:trPr>
        <w:tc>
          <w:tcPr>
            <w:tcW w:w="2694" w:type="dxa"/>
            <w:tcBorders>
              <w:left w:val="single" w:sz="8" w:space="0" w:color="000000"/>
              <w:bottom w:val="single" w:sz="8" w:space="0" w:color="D9D9D9"/>
              <w:right w:val="single" w:sz="8" w:space="0" w:color="000000"/>
            </w:tcBorders>
            <w:shd w:val="clear" w:color="auto" w:fill="auto"/>
            <w:tcMar>
              <w:top w:w="100" w:type="dxa"/>
              <w:left w:w="100" w:type="dxa"/>
              <w:bottom w:w="100" w:type="dxa"/>
              <w:right w:w="100" w:type="dxa"/>
            </w:tcMar>
          </w:tcPr>
          <w:p w14:paraId="3993AF97" w14:textId="77777777" w:rsidR="00A10957" w:rsidRPr="008774CA" w:rsidRDefault="00F4083B">
            <w:pPr>
              <w:spacing w:after="60" w:line="240" w:lineRule="auto"/>
              <w:rPr>
                <w:rFonts w:asciiTheme="majorHAnsi" w:hAnsiTheme="majorHAnsi" w:cstheme="majorHAnsi"/>
                <w:sz w:val="18"/>
                <w:szCs w:val="18"/>
              </w:rPr>
            </w:pPr>
            <w:r w:rsidRPr="008774CA">
              <w:rPr>
                <w:rFonts w:asciiTheme="majorHAnsi" w:hAnsiTheme="majorHAnsi" w:cstheme="majorHAnsi"/>
                <w:sz w:val="18"/>
                <w:szCs w:val="18"/>
              </w:rPr>
              <w:lastRenderedPageBreak/>
              <w:t xml:space="preserve">Explanation of overall PIN and target calculations: how did you reach these numbers? </w:t>
            </w:r>
          </w:p>
          <w:p w14:paraId="71C3FC88" w14:textId="77777777" w:rsidR="00A10957" w:rsidRPr="008774CA" w:rsidRDefault="00F4083B">
            <w:pPr>
              <w:spacing w:after="60" w:line="240" w:lineRule="auto"/>
              <w:rPr>
                <w:rFonts w:asciiTheme="majorHAnsi" w:hAnsiTheme="majorHAnsi" w:cstheme="majorHAnsi"/>
                <w:sz w:val="18"/>
                <w:szCs w:val="18"/>
              </w:rPr>
            </w:pPr>
            <w:r w:rsidRPr="008774CA">
              <w:rPr>
                <w:rFonts w:asciiTheme="majorHAnsi" w:hAnsiTheme="majorHAnsi" w:cstheme="majorHAnsi"/>
                <w:sz w:val="18"/>
                <w:szCs w:val="18"/>
              </w:rPr>
              <w:t>For target numbers, please clearly specify and account for coverage by partners/contributors outside the JRP, e.g. RC/RC, WB, ADB, etc.</w:t>
            </w:r>
          </w:p>
        </w:tc>
        <w:tc>
          <w:tcPr>
            <w:tcW w:w="3551" w:type="dxa"/>
            <w:tcBorders>
              <w:bottom w:val="single" w:sz="8" w:space="0" w:color="D9D9D9"/>
              <w:right w:val="single" w:sz="8" w:space="0" w:color="000000"/>
            </w:tcBorders>
            <w:shd w:val="clear" w:color="auto" w:fill="auto"/>
            <w:tcMar>
              <w:top w:w="100" w:type="dxa"/>
              <w:left w:w="100" w:type="dxa"/>
              <w:bottom w:w="100" w:type="dxa"/>
              <w:right w:w="100" w:type="dxa"/>
            </w:tcMar>
          </w:tcPr>
          <w:p w14:paraId="06BBF4F5" w14:textId="77777777" w:rsidR="00A10957" w:rsidRPr="008774CA" w:rsidRDefault="00F4083B">
            <w:pPr>
              <w:spacing w:after="60" w:line="240" w:lineRule="auto"/>
              <w:jc w:val="center"/>
              <w:rPr>
                <w:rFonts w:asciiTheme="majorHAnsi" w:hAnsiTheme="majorHAnsi" w:cstheme="majorHAnsi"/>
                <w:b/>
                <w:sz w:val="18"/>
                <w:szCs w:val="18"/>
              </w:rPr>
            </w:pPr>
            <w:r w:rsidRPr="008774CA">
              <w:rPr>
                <w:rFonts w:asciiTheme="majorHAnsi" w:hAnsiTheme="majorHAnsi" w:cstheme="majorHAnsi"/>
                <w:b/>
                <w:sz w:val="18"/>
                <w:szCs w:val="18"/>
              </w:rPr>
              <w:t>PIN</w:t>
            </w:r>
          </w:p>
          <w:p w14:paraId="73B0FEBE" w14:textId="0C00468D" w:rsidR="00A10957" w:rsidRPr="008774CA" w:rsidRDefault="00F4083B">
            <w:pPr>
              <w:spacing w:after="60" w:line="240" w:lineRule="auto"/>
              <w:rPr>
                <w:rFonts w:asciiTheme="majorHAnsi" w:hAnsiTheme="majorHAnsi" w:cstheme="majorHAnsi"/>
                <w:sz w:val="18"/>
                <w:szCs w:val="18"/>
              </w:rPr>
            </w:pPr>
            <w:r w:rsidRPr="008774CA">
              <w:rPr>
                <w:rFonts w:asciiTheme="majorHAnsi" w:hAnsiTheme="majorHAnsi" w:cstheme="majorHAnsi"/>
                <w:sz w:val="18"/>
                <w:szCs w:val="18"/>
              </w:rPr>
              <w:t>Rohingya community</w:t>
            </w:r>
            <w:r w:rsidR="008774CA" w:rsidRPr="008774CA">
              <w:rPr>
                <w:rStyle w:val="FootnoteReference"/>
                <w:rFonts w:asciiTheme="majorHAnsi" w:hAnsiTheme="majorHAnsi" w:cstheme="majorHAnsi"/>
                <w:sz w:val="18"/>
                <w:szCs w:val="18"/>
              </w:rPr>
              <w:footnoteReference w:id="1"/>
            </w:r>
          </w:p>
          <w:p w14:paraId="6829B183" w14:textId="77777777" w:rsidR="00A10957" w:rsidRPr="008774CA" w:rsidRDefault="00F4083B" w:rsidP="008774CA">
            <w:pPr>
              <w:spacing w:after="60" w:line="240" w:lineRule="auto"/>
              <w:ind w:left="140" w:right="100" w:hanging="50"/>
              <w:rPr>
                <w:rFonts w:asciiTheme="majorHAnsi" w:hAnsiTheme="majorHAnsi" w:cstheme="majorHAnsi"/>
                <w:sz w:val="18"/>
                <w:szCs w:val="18"/>
              </w:rPr>
            </w:pPr>
            <w:r w:rsidRPr="008774CA">
              <w:rPr>
                <w:rFonts w:asciiTheme="majorHAnsi" w:hAnsiTheme="majorHAnsi" w:cstheme="majorHAnsi"/>
                <w:sz w:val="18"/>
                <w:szCs w:val="18"/>
              </w:rPr>
              <w:t>-   3 YO: 35,363 (50% girls / 50% boys)</w:t>
            </w:r>
          </w:p>
          <w:p w14:paraId="228BDD69" w14:textId="77777777" w:rsidR="00A10957" w:rsidRPr="008774CA" w:rsidRDefault="00F4083B" w:rsidP="008774CA">
            <w:pPr>
              <w:spacing w:after="60" w:line="240" w:lineRule="auto"/>
              <w:ind w:left="140" w:right="100" w:hanging="50"/>
              <w:rPr>
                <w:rFonts w:asciiTheme="majorHAnsi" w:hAnsiTheme="majorHAnsi" w:cstheme="majorHAnsi"/>
                <w:sz w:val="18"/>
                <w:szCs w:val="18"/>
              </w:rPr>
            </w:pPr>
            <w:r w:rsidRPr="008774CA">
              <w:rPr>
                <w:rFonts w:asciiTheme="majorHAnsi" w:hAnsiTheme="majorHAnsi" w:cstheme="majorHAnsi"/>
                <w:sz w:val="18"/>
                <w:szCs w:val="18"/>
              </w:rPr>
              <w:t>-   4-5 YO: 64,377 (49% girls / 51% boys)</w:t>
            </w:r>
          </w:p>
          <w:p w14:paraId="6AB9D16B" w14:textId="77777777" w:rsidR="00A10957" w:rsidRPr="008774CA" w:rsidRDefault="00F4083B" w:rsidP="008774CA">
            <w:pPr>
              <w:spacing w:after="60" w:line="240" w:lineRule="auto"/>
              <w:ind w:left="140" w:right="100" w:hanging="50"/>
              <w:rPr>
                <w:rFonts w:asciiTheme="majorHAnsi" w:hAnsiTheme="majorHAnsi" w:cstheme="majorHAnsi"/>
                <w:sz w:val="18"/>
                <w:szCs w:val="18"/>
              </w:rPr>
            </w:pPr>
            <w:r w:rsidRPr="008774CA">
              <w:rPr>
                <w:rFonts w:asciiTheme="majorHAnsi" w:hAnsiTheme="majorHAnsi" w:cstheme="majorHAnsi"/>
                <w:sz w:val="18"/>
                <w:szCs w:val="18"/>
              </w:rPr>
              <w:t>-   6-14 YO: 214,860 (48% girls / 52% boys)</w:t>
            </w:r>
          </w:p>
          <w:p w14:paraId="75A3F2A0" w14:textId="77777777" w:rsidR="00A10957" w:rsidRPr="008774CA" w:rsidRDefault="00F4083B" w:rsidP="008774CA">
            <w:pPr>
              <w:spacing w:after="60" w:line="240" w:lineRule="auto"/>
              <w:ind w:left="140" w:right="100" w:hanging="50"/>
              <w:rPr>
                <w:rFonts w:asciiTheme="majorHAnsi" w:hAnsiTheme="majorHAnsi" w:cstheme="majorHAnsi"/>
                <w:sz w:val="18"/>
                <w:szCs w:val="18"/>
              </w:rPr>
            </w:pPr>
            <w:r w:rsidRPr="008774CA">
              <w:rPr>
                <w:rFonts w:asciiTheme="majorHAnsi" w:hAnsiTheme="majorHAnsi" w:cstheme="majorHAnsi"/>
                <w:sz w:val="18"/>
                <w:szCs w:val="18"/>
              </w:rPr>
              <w:t>-   15-18 YO: 71,234 (54% girls / 46% boys)</w:t>
            </w:r>
          </w:p>
          <w:p w14:paraId="2D9FCE86" w14:textId="77777777" w:rsidR="00A10957" w:rsidRPr="008774CA" w:rsidRDefault="00F4083B" w:rsidP="008774CA">
            <w:pPr>
              <w:spacing w:after="60" w:line="240" w:lineRule="auto"/>
              <w:ind w:left="140" w:right="100" w:hanging="50"/>
              <w:rPr>
                <w:rFonts w:asciiTheme="majorHAnsi" w:hAnsiTheme="majorHAnsi" w:cstheme="majorHAnsi"/>
                <w:sz w:val="18"/>
                <w:szCs w:val="18"/>
              </w:rPr>
            </w:pPr>
            <w:r w:rsidRPr="008774CA">
              <w:rPr>
                <w:rFonts w:asciiTheme="majorHAnsi" w:hAnsiTheme="majorHAnsi" w:cstheme="majorHAnsi"/>
                <w:sz w:val="18"/>
                <w:szCs w:val="18"/>
              </w:rPr>
              <w:t>-   19-24 YO: 110,318 (58% girls / 42% boys)</w:t>
            </w:r>
          </w:p>
          <w:p w14:paraId="66C2C1D2" w14:textId="5A47FC2B" w:rsidR="00A10957" w:rsidRDefault="00F4083B">
            <w:pPr>
              <w:spacing w:after="60" w:line="240" w:lineRule="auto"/>
              <w:rPr>
                <w:rFonts w:asciiTheme="majorHAnsi" w:hAnsiTheme="majorHAnsi" w:cstheme="majorHAnsi"/>
                <w:sz w:val="18"/>
                <w:szCs w:val="18"/>
              </w:rPr>
            </w:pPr>
            <w:r w:rsidRPr="008774CA">
              <w:rPr>
                <w:rFonts w:asciiTheme="majorHAnsi" w:hAnsiTheme="majorHAnsi" w:cstheme="majorHAnsi"/>
                <w:sz w:val="18"/>
                <w:szCs w:val="18"/>
              </w:rPr>
              <w:t xml:space="preserve"> </w:t>
            </w:r>
          </w:p>
          <w:p w14:paraId="16A1DE5B" w14:textId="53FEE29C" w:rsidR="00764798" w:rsidRDefault="00764798">
            <w:pPr>
              <w:spacing w:after="60" w:line="240" w:lineRule="auto"/>
              <w:rPr>
                <w:rFonts w:asciiTheme="majorHAnsi" w:hAnsiTheme="majorHAnsi" w:cstheme="majorHAnsi"/>
                <w:sz w:val="18"/>
                <w:szCs w:val="18"/>
              </w:rPr>
            </w:pPr>
          </w:p>
          <w:p w14:paraId="74484C57" w14:textId="77777777" w:rsidR="00060559" w:rsidRDefault="00060559">
            <w:pPr>
              <w:spacing w:after="60" w:line="240" w:lineRule="auto"/>
              <w:rPr>
                <w:rFonts w:asciiTheme="majorHAnsi" w:hAnsiTheme="majorHAnsi" w:cstheme="majorHAnsi"/>
                <w:sz w:val="18"/>
                <w:szCs w:val="18"/>
              </w:rPr>
            </w:pPr>
          </w:p>
          <w:p w14:paraId="4750E477" w14:textId="77777777" w:rsidR="00764798" w:rsidRPr="00764798" w:rsidRDefault="00764798">
            <w:pPr>
              <w:spacing w:after="60" w:line="240" w:lineRule="auto"/>
              <w:rPr>
                <w:rFonts w:asciiTheme="majorHAnsi" w:hAnsiTheme="majorHAnsi" w:cstheme="majorHAnsi"/>
                <w:sz w:val="11"/>
                <w:szCs w:val="11"/>
              </w:rPr>
            </w:pPr>
          </w:p>
          <w:p w14:paraId="589278A5" w14:textId="0B4155AB" w:rsidR="00A10957" w:rsidRPr="008774CA" w:rsidRDefault="00F4083B">
            <w:pPr>
              <w:spacing w:after="60" w:line="240" w:lineRule="auto"/>
              <w:rPr>
                <w:rFonts w:asciiTheme="majorHAnsi" w:hAnsiTheme="majorHAnsi" w:cstheme="majorHAnsi"/>
                <w:sz w:val="18"/>
                <w:szCs w:val="18"/>
              </w:rPr>
            </w:pPr>
            <w:r w:rsidRPr="008774CA">
              <w:rPr>
                <w:rFonts w:asciiTheme="majorHAnsi" w:hAnsiTheme="majorHAnsi" w:cstheme="majorHAnsi"/>
                <w:sz w:val="18"/>
                <w:szCs w:val="18"/>
              </w:rPr>
              <w:t>Host community</w:t>
            </w:r>
            <w:r w:rsidR="008774CA" w:rsidRPr="008774CA">
              <w:rPr>
                <w:rStyle w:val="FootnoteReference"/>
                <w:rFonts w:asciiTheme="majorHAnsi" w:hAnsiTheme="majorHAnsi" w:cstheme="majorHAnsi"/>
                <w:sz w:val="18"/>
                <w:szCs w:val="18"/>
              </w:rPr>
              <w:footnoteReference w:id="2"/>
            </w:r>
          </w:p>
          <w:p w14:paraId="062B263D" w14:textId="77777777" w:rsidR="00A10957" w:rsidRPr="008774CA" w:rsidRDefault="00F4083B" w:rsidP="008774CA">
            <w:pPr>
              <w:pBdr>
                <w:top w:val="nil"/>
                <w:left w:val="nil"/>
                <w:bottom w:val="nil"/>
                <w:right w:val="nil"/>
                <w:between w:val="nil"/>
              </w:pBdr>
              <w:spacing w:after="60" w:line="240" w:lineRule="auto"/>
              <w:ind w:left="140" w:right="100" w:hanging="50"/>
              <w:rPr>
                <w:rFonts w:asciiTheme="majorHAnsi" w:hAnsiTheme="majorHAnsi" w:cstheme="majorHAnsi"/>
                <w:sz w:val="18"/>
                <w:szCs w:val="18"/>
              </w:rPr>
            </w:pPr>
            <w:r w:rsidRPr="008774CA">
              <w:rPr>
                <w:rFonts w:asciiTheme="majorHAnsi" w:hAnsiTheme="majorHAnsi" w:cstheme="majorHAnsi"/>
                <w:sz w:val="18"/>
                <w:szCs w:val="18"/>
              </w:rPr>
              <w:t>-   4</w:t>
            </w:r>
            <w:r w:rsidRPr="008774CA">
              <w:rPr>
                <w:rFonts w:asciiTheme="majorHAnsi" w:eastAsia="Arial" w:hAnsiTheme="majorHAnsi" w:cstheme="majorHAnsi"/>
                <w:sz w:val="18"/>
                <w:szCs w:val="18"/>
              </w:rPr>
              <w:t>-</w:t>
            </w:r>
            <w:r w:rsidRPr="008774CA">
              <w:rPr>
                <w:rFonts w:asciiTheme="majorHAnsi" w:hAnsiTheme="majorHAnsi" w:cstheme="majorHAnsi"/>
                <w:sz w:val="18"/>
                <w:szCs w:val="18"/>
              </w:rPr>
              <w:t>5 YO: 20,000 (50% girls / 50% boys)</w:t>
            </w:r>
          </w:p>
          <w:p w14:paraId="4066B2E6" w14:textId="77777777" w:rsidR="00A10957" w:rsidRPr="008774CA" w:rsidRDefault="00F4083B" w:rsidP="008774CA">
            <w:pPr>
              <w:pBdr>
                <w:top w:val="nil"/>
                <w:left w:val="nil"/>
                <w:bottom w:val="nil"/>
                <w:right w:val="nil"/>
                <w:between w:val="nil"/>
              </w:pBdr>
              <w:spacing w:after="60" w:line="240" w:lineRule="auto"/>
              <w:ind w:left="140" w:right="100" w:hanging="50"/>
              <w:rPr>
                <w:rFonts w:asciiTheme="majorHAnsi" w:hAnsiTheme="majorHAnsi" w:cstheme="majorHAnsi"/>
                <w:sz w:val="18"/>
                <w:szCs w:val="18"/>
              </w:rPr>
            </w:pPr>
            <w:r w:rsidRPr="008774CA">
              <w:rPr>
                <w:rFonts w:asciiTheme="majorHAnsi" w:hAnsiTheme="majorHAnsi" w:cstheme="majorHAnsi"/>
                <w:sz w:val="18"/>
                <w:szCs w:val="18"/>
              </w:rPr>
              <w:t>-   6-14 YO: 40,000 (49% girls / 51% boys)</w:t>
            </w:r>
          </w:p>
          <w:p w14:paraId="3EE9F8FF" w14:textId="77777777" w:rsidR="00A10957" w:rsidRPr="008774CA" w:rsidRDefault="00F4083B" w:rsidP="008774CA">
            <w:pPr>
              <w:pBdr>
                <w:top w:val="nil"/>
                <w:left w:val="nil"/>
                <w:bottom w:val="nil"/>
                <w:right w:val="nil"/>
                <w:between w:val="nil"/>
              </w:pBdr>
              <w:spacing w:after="60" w:line="240" w:lineRule="auto"/>
              <w:ind w:left="140" w:right="100" w:hanging="50"/>
              <w:rPr>
                <w:rFonts w:asciiTheme="majorHAnsi" w:hAnsiTheme="majorHAnsi" w:cstheme="majorHAnsi"/>
                <w:sz w:val="18"/>
                <w:szCs w:val="18"/>
              </w:rPr>
            </w:pPr>
            <w:r w:rsidRPr="008774CA">
              <w:rPr>
                <w:rFonts w:asciiTheme="majorHAnsi" w:hAnsiTheme="majorHAnsi" w:cstheme="majorHAnsi"/>
                <w:sz w:val="18"/>
                <w:szCs w:val="18"/>
              </w:rPr>
              <w:t>-   15-18 YO: 8,000 (50% girls / 50% boys)</w:t>
            </w:r>
          </w:p>
          <w:p w14:paraId="31022781" w14:textId="77777777" w:rsidR="00A10957" w:rsidRPr="008774CA" w:rsidRDefault="00F4083B" w:rsidP="008774CA">
            <w:pPr>
              <w:pBdr>
                <w:top w:val="nil"/>
                <w:left w:val="nil"/>
                <w:bottom w:val="nil"/>
                <w:right w:val="nil"/>
                <w:between w:val="nil"/>
              </w:pBdr>
              <w:spacing w:after="60" w:line="240" w:lineRule="auto"/>
              <w:ind w:left="140" w:right="100" w:hanging="50"/>
              <w:rPr>
                <w:rFonts w:asciiTheme="majorHAnsi" w:hAnsiTheme="majorHAnsi" w:cstheme="majorHAnsi"/>
                <w:sz w:val="18"/>
                <w:szCs w:val="18"/>
              </w:rPr>
            </w:pPr>
            <w:r w:rsidRPr="008774CA">
              <w:rPr>
                <w:rFonts w:asciiTheme="majorHAnsi" w:hAnsiTheme="majorHAnsi" w:cstheme="majorHAnsi"/>
                <w:sz w:val="18"/>
                <w:szCs w:val="18"/>
              </w:rPr>
              <w:t>-   19-</w:t>
            </w:r>
            <w:r w:rsidRPr="008774CA">
              <w:rPr>
                <w:rFonts w:asciiTheme="majorHAnsi" w:eastAsia="Arial" w:hAnsiTheme="majorHAnsi" w:cstheme="majorHAnsi"/>
                <w:sz w:val="18"/>
                <w:szCs w:val="18"/>
              </w:rPr>
              <w:t>24</w:t>
            </w:r>
            <w:r w:rsidRPr="008774CA">
              <w:rPr>
                <w:rFonts w:asciiTheme="majorHAnsi" w:hAnsiTheme="majorHAnsi" w:cstheme="majorHAnsi"/>
                <w:sz w:val="18"/>
                <w:szCs w:val="18"/>
              </w:rPr>
              <w:t xml:space="preserve"> YO: 2,000 (52% girls / 48% boys)</w:t>
            </w:r>
          </w:p>
        </w:tc>
        <w:tc>
          <w:tcPr>
            <w:tcW w:w="3551" w:type="dxa"/>
            <w:tcBorders>
              <w:bottom w:val="single" w:sz="8" w:space="0" w:color="D9D9D9"/>
              <w:right w:val="single" w:sz="8" w:space="0" w:color="000000"/>
            </w:tcBorders>
            <w:shd w:val="clear" w:color="auto" w:fill="auto"/>
            <w:tcMar>
              <w:top w:w="100" w:type="dxa"/>
              <w:left w:w="100" w:type="dxa"/>
              <w:bottom w:w="100" w:type="dxa"/>
              <w:right w:w="100" w:type="dxa"/>
            </w:tcMar>
          </w:tcPr>
          <w:p w14:paraId="3AB243AD" w14:textId="77777777" w:rsidR="00A10957" w:rsidRPr="008774CA" w:rsidRDefault="00F4083B">
            <w:pPr>
              <w:spacing w:after="60" w:line="240" w:lineRule="auto"/>
              <w:jc w:val="center"/>
              <w:rPr>
                <w:rFonts w:asciiTheme="majorHAnsi" w:hAnsiTheme="majorHAnsi" w:cstheme="majorHAnsi"/>
                <w:b/>
                <w:sz w:val="18"/>
                <w:szCs w:val="18"/>
              </w:rPr>
            </w:pPr>
            <w:r w:rsidRPr="008774CA">
              <w:rPr>
                <w:rFonts w:asciiTheme="majorHAnsi" w:hAnsiTheme="majorHAnsi" w:cstheme="majorHAnsi"/>
                <w:b/>
                <w:sz w:val="18"/>
                <w:szCs w:val="18"/>
              </w:rPr>
              <w:t>Targets</w:t>
            </w:r>
          </w:p>
          <w:p w14:paraId="63DB0615" w14:textId="51921653" w:rsidR="00A10957" w:rsidRPr="008774CA" w:rsidRDefault="00F4083B">
            <w:pPr>
              <w:spacing w:after="60" w:line="240" w:lineRule="auto"/>
              <w:rPr>
                <w:rFonts w:asciiTheme="majorHAnsi" w:hAnsiTheme="majorHAnsi" w:cstheme="majorHAnsi"/>
                <w:sz w:val="18"/>
                <w:szCs w:val="18"/>
              </w:rPr>
            </w:pPr>
            <w:r w:rsidRPr="008774CA">
              <w:rPr>
                <w:rFonts w:asciiTheme="majorHAnsi" w:hAnsiTheme="majorHAnsi" w:cstheme="majorHAnsi"/>
                <w:sz w:val="18"/>
                <w:szCs w:val="18"/>
              </w:rPr>
              <w:t>Rohingya community</w:t>
            </w:r>
            <w:r w:rsidR="008774CA" w:rsidRPr="008774CA">
              <w:rPr>
                <w:rStyle w:val="FootnoteReference"/>
                <w:rFonts w:asciiTheme="majorHAnsi" w:hAnsiTheme="majorHAnsi" w:cstheme="majorHAnsi"/>
                <w:sz w:val="18"/>
                <w:szCs w:val="18"/>
              </w:rPr>
              <w:footnoteReference w:id="3"/>
            </w:r>
          </w:p>
          <w:p w14:paraId="64854358" w14:textId="77777777" w:rsidR="00A10957" w:rsidRPr="008774CA" w:rsidRDefault="00F4083B" w:rsidP="008774CA">
            <w:pPr>
              <w:pBdr>
                <w:top w:val="nil"/>
                <w:left w:val="nil"/>
                <w:bottom w:val="nil"/>
                <w:right w:val="nil"/>
                <w:between w:val="nil"/>
              </w:pBdr>
              <w:spacing w:after="60" w:line="240" w:lineRule="auto"/>
              <w:ind w:left="140" w:right="100" w:hanging="50"/>
              <w:rPr>
                <w:rFonts w:asciiTheme="majorHAnsi" w:hAnsiTheme="majorHAnsi" w:cstheme="majorHAnsi"/>
                <w:sz w:val="18"/>
                <w:szCs w:val="18"/>
              </w:rPr>
            </w:pPr>
            <w:r w:rsidRPr="008774CA">
              <w:rPr>
                <w:rFonts w:asciiTheme="majorHAnsi" w:hAnsiTheme="majorHAnsi" w:cstheme="majorHAnsi"/>
                <w:sz w:val="18"/>
                <w:szCs w:val="18"/>
              </w:rPr>
              <w:t xml:space="preserve">-   </w:t>
            </w:r>
            <w:r w:rsidRPr="008774CA">
              <w:rPr>
                <w:rFonts w:asciiTheme="majorHAnsi" w:eastAsia="Arial" w:hAnsiTheme="majorHAnsi" w:cstheme="majorHAnsi"/>
                <w:sz w:val="18"/>
                <w:szCs w:val="18"/>
              </w:rPr>
              <w:t xml:space="preserve">3 </w:t>
            </w:r>
            <w:r w:rsidRPr="008774CA">
              <w:rPr>
                <w:rFonts w:asciiTheme="majorHAnsi" w:hAnsiTheme="majorHAnsi" w:cstheme="majorHAnsi"/>
                <w:sz w:val="18"/>
                <w:szCs w:val="18"/>
              </w:rPr>
              <w:t>YO (100% of PIN): 35,363 (50% girls / 50% boys)</w:t>
            </w:r>
          </w:p>
          <w:p w14:paraId="67758080" w14:textId="77777777" w:rsidR="00A10957" w:rsidRPr="008774CA" w:rsidRDefault="00F4083B" w:rsidP="008774CA">
            <w:pPr>
              <w:pBdr>
                <w:top w:val="nil"/>
                <w:left w:val="nil"/>
                <w:bottom w:val="nil"/>
                <w:right w:val="nil"/>
                <w:between w:val="nil"/>
              </w:pBdr>
              <w:spacing w:after="60" w:line="240" w:lineRule="auto"/>
              <w:ind w:left="140" w:right="100" w:hanging="50"/>
              <w:rPr>
                <w:rFonts w:asciiTheme="majorHAnsi" w:hAnsiTheme="majorHAnsi" w:cstheme="majorHAnsi"/>
                <w:sz w:val="18"/>
                <w:szCs w:val="18"/>
              </w:rPr>
            </w:pPr>
            <w:r w:rsidRPr="008774CA">
              <w:rPr>
                <w:rFonts w:asciiTheme="majorHAnsi" w:hAnsiTheme="majorHAnsi" w:cstheme="majorHAnsi"/>
                <w:sz w:val="18"/>
                <w:szCs w:val="18"/>
              </w:rPr>
              <w:t>-   4-5 YO (100% of PIN): 64,377 (49% girls / 51% boys)</w:t>
            </w:r>
          </w:p>
          <w:p w14:paraId="21CFA02B" w14:textId="77777777" w:rsidR="00A10957" w:rsidRPr="008774CA" w:rsidRDefault="00F4083B" w:rsidP="008774CA">
            <w:pPr>
              <w:pBdr>
                <w:top w:val="nil"/>
                <w:left w:val="nil"/>
                <w:bottom w:val="nil"/>
                <w:right w:val="nil"/>
                <w:between w:val="nil"/>
              </w:pBdr>
              <w:spacing w:after="60" w:line="240" w:lineRule="auto"/>
              <w:ind w:left="140" w:right="100" w:hanging="50"/>
              <w:rPr>
                <w:rFonts w:asciiTheme="majorHAnsi" w:hAnsiTheme="majorHAnsi" w:cstheme="majorHAnsi"/>
                <w:sz w:val="18"/>
                <w:szCs w:val="18"/>
              </w:rPr>
            </w:pPr>
            <w:r w:rsidRPr="008774CA">
              <w:rPr>
                <w:rFonts w:asciiTheme="majorHAnsi" w:hAnsiTheme="majorHAnsi" w:cstheme="majorHAnsi"/>
                <w:sz w:val="18"/>
                <w:szCs w:val="18"/>
              </w:rPr>
              <w:t>-   6-14 YO (100% of PIN): 214,860 (48% girls / 52% boys)</w:t>
            </w:r>
          </w:p>
          <w:p w14:paraId="35405A27" w14:textId="77777777" w:rsidR="00A10957" w:rsidRPr="008774CA" w:rsidRDefault="00F4083B" w:rsidP="008774CA">
            <w:pPr>
              <w:pBdr>
                <w:top w:val="nil"/>
                <w:left w:val="nil"/>
                <w:bottom w:val="nil"/>
                <w:right w:val="nil"/>
                <w:between w:val="nil"/>
              </w:pBdr>
              <w:spacing w:after="60" w:line="240" w:lineRule="auto"/>
              <w:ind w:left="140" w:right="100" w:hanging="50"/>
              <w:rPr>
                <w:rFonts w:asciiTheme="majorHAnsi" w:hAnsiTheme="majorHAnsi" w:cstheme="majorHAnsi"/>
                <w:sz w:val="18"/>
                <w:szCs w:val="18"/>
              </w:rPr>
            </w:pPr>
            <w:r w:rsidRPr="008774CA">
              <w:rPr>
                <w:rFonts w:asciiTheme="majorHAnsi" w:hAnsiTheme="majorHAnsi" w:cstheme="majorHAnsi"/>
                <w:sz w:val="18"/>
                <w:szCs w:val="18"/>
              </w:rPr>
              <w:t>-   15-18 YO (70% of PIN): 49,864 (54% girls / 46% boys)</w:t>
            </w:r>
          </w:p>
          <w:p w14:paraId="00CF5D6B" w14:textId="77777777" w:rsidR="00A10957" w:rsidRPr="008774CA" w:rsidRDefault="00F4083B" w:rsidP="008774CA">
            <w:pPr>
              <w:pBdr>
                <w:top w:val="nil"/>
                <w:left w:val="nil"/>
                <w:bottom w:val="nil"/>
                <w:right w:val="nil"/>
                <w:between w:val="nil"/>
              </w:pBdr>
              <w:spacing w:after="60" w:line="240" w:lineRule="auto"/>
              <w:ind w:left="140" w:right="100" w:hanging="50"/>
              <w:rPr>
                <w:rFonts w:asciiTheme="majorHAnsi" w:hAnsiTheme="majorHAnsi" w:cstheme="majorHAnsi"/>
                <w:sz w:val="18"/>
                <w:szCs w:val="18"/>
              </w:rPr>
            </w:pPr>
            <w:r w:rsidRPr="008774CA">
              <w:rPr>
                <w:rFonts w:asciiTheme="majorHAnsi" w:hAnsiTheme="majorHAnsi" w:cstheme="majorHAnsi"/>
                <w:sz w:val="18"/>
                <w:szCs w:val="18"/>
              </w:rPr>
              <w:t>-   19-24 YO (10% of PIN): 11,032 (58% girls / 42% boys)</w:t>
            </w:r>
          </w:p>
          <w:p w14:paraId="2E3F7DC8" w14:textId="77777777" w:rsidR="00A10957" w:rsidRPr="008774CA" w:rsidRDefault="00F4083B">
            <w:pPr>
              <w:spacing w:after="60" w:line="240" w:lineRule="auto"/>
              <w:rPr>
                <w:rFonts w:asciiTheme="majorHAnsi" w:hAnsiTheme="majorHAnsi" w:cstheme="majorHAnsi"/>
                <w:sz w:val="18"/>
                <w:szCs w:val="18"/>
              </w:rPr>
            </w:pPr>
            <w:r w:rsidRPr="008774CA">
              <w:rPr>
                <w:rFonts w:asciiTheme="majorHAnsi" w:hAnsiTheme="majorHAnsi" w:cstheme="majorHAnsi"/>
                <w:sz w:val="18"/>
                <w:szCs w:val="18"/>
              </w:rPr>
              <w:t xml:space="preserve"> </w:t>
            </w:r>
          </w:p>
          <w:p w14:paraId="54C92611" w14:textId="77777777" w:rsidR="00A10957" w:rsidRPr="008774CA" w:rsidRDefault="00F4083B">
            <w:pPr>
              <w:spacing w:after="60" w:line="240" w:lineRule="auto"/>
              <w:rPr>
                <w:rFonts w:asciiTheme="majorHAnsi" w:hAnsiTheme="majorHAnsi" w:cstheme="majorHAnsi"/>
                <w:sz w:val="18"/>
                <w:szCs w:val="18"/>
              </w:rPr>
            </w:pPr>
            <w:r w:rsidRPr="008774CA">
              <w:rPr>
                <w:rFonts w:asciiTheme="majorHAnsi" w:hAnsiTheme="majorHAnsi" w:cstheme="majorHAnsi"/>
                <w:sz w:val="18"/>
                <w:szCs w:val="18"/>
              </w:rPr>
              <w:t>Host community</w:t>
            </w:r>
          </w:p>
          <w:p w14:paraId="43C6394C" w14:textId="77777777" w:rsidR="00A10957" w:rsidRPr="00764798" w:rsidRDefault="00F4083B" w:rsidP="00764798">
            <w:pPr>
              <w:pBdr>
                <w:top w:val="nil"/>
                <w:left w:val="nil"/>
                <w:bottom w:val="nil"/>
                <w:right w:val="nil"/>
                <w:between w:val="nil"/>
              </w:pBdr>
              <w:spacing w:after="60" w:line="240" w:lineRule="auto"/>
              <w:ind w:left="140" w:right="100" w:hanging="50"/>
              <w:rPr>
                <w:rFonts w:asciiTheme="majorHAnsi" w:hAnsiTheme="majorHAnsi" w:cstheme="majorHAnsi"/>
                <w:sz w:val="18"/>
                <w:szCs w:val="18"/>
              </w:rPr>
            </w:pPr>
            <w:r w:rsidRPr="008774CA">
              <w:rPr>
                <w:rFonts w:asciiTheme="majorHAnsi" w:hAnsiTheme="majorHAnsi" w:cstheme="majorHAnsi"/>
                <w:sz w:val="18"/>
                <w:szCs w:val="18"/>
              </w:rPr>
              <w:t xml:space="preserve">-   </w:t>
            </w:r>
            <w:r w:rsidRPr="008774CA">
              <w:rPr>
                <w:rFonts w:asciiTheme="majorHAnsi" w:eastAsia="Arial" w:hAnsiTheme="majorHAnsi" w:cstheme="majorHAnsi"/>
                <w:sz w:val="18"/>
                <w:szCs w:val="18"/>
              </w:rPr>
              <w:t>4-</w:t>
            </w:r>
            <w:r w:rsidRPr="00764798">
              <w:rPr>
                <w:rFonts w:asciiTheme="majorHAnsi" w:hAnsiTheme="majorHAnsi" w:cstheme="majorHAnsi"/>
                <w:sz w:val="18"/>
                <w:szCs w:val="18"/>
              </w:rPr>
              <w:t>5 YO: 15,048 (50% girls / 50% boys)</w:t>
            </w:r>
          </w:p>
          <w:p w14:paraId="2690F5F9" w14:textId="77777777" w:rsidR="00A10957" w:rsidRPr="00764798" w:rsidRDefault="00F4083B" w:rsidP="00764798">
            <w:pPr>
              <w:pBdr>
                <w:top w:val="nil"/>
                <w:left w:val="nil"/>
                <w:bottom w:val="nil"/>
                <w:right w:val="nil"/>
                <w:between w:val="nil"/>
              </w:pBdr>
              <w:spacing w:after="60" w:line="240" w:lineRule="auto"/>
              <w:ind w:left="140" w:right="100" w:hanging="50"/>
              <w:rPr>
                <w:rFonts w:asciiTheme="majorHAnsi" w:hAnsiTheme="majorHAnsi" w:cstheme="majorHAnsi"/>
                <w:sz w:val="18"/>
                <w:szCs w:val="18"/>
              </w:rPr>
            </w:pPr>
            <w:r w:rsidRPr="00764798">
              <w:rPr>
                <w:rFonts w:asciiTheme="majorHAnsi" w:hAnsiTheme="majorHAnsi" w:cstheme="majorHAnsi"/>
                <w:sz w:val="18"/>
                <w:szCs w:val="18"/>
              </w:rPr>
              <w:t>-   6-14 YO: 28,499 (49% girls / 51% boys)</w:t>
            </w:r>
          </w:p>
          <w:p w14:paraId="2239115F" w14:textId="77777777" w:rsidR="00A10957" w:rsidRPr="00764798" w:rsidRDefault="00F4083B" w:rsidP="00764798">
            <w:pPr>
              <w:pBdr>
                <w:top w:val="nil"/>
                <w:left w:val="nil"/>
                <w:bottom w:val="nil"/>
                <w:right w:val="nil"/>
                <w:between w:val="nil"/>
              </w:pBdr>
              <w:spacing w:after="60" w:line="240" w:lineRule="auto"/>
              <w:ind w:left="140" w:right="100" w:hanging="50"/>
              <w:rPr>
                <w:rFonts w:asciiTheme="majorHAnsi" w:hAnsiTheme="majorHAnsi" w:cstheme="majorHAnsi"/>
                <w:sz w:val="18"/>
                <w:szCs w:val="18"/>
              </w:rPr>
            </w:pPr>
            <w:r w:rsidRPr="00764798">
              <w:rPr>
                <w:rFonts w:asciiTheme="majorHAnsi" w:hAnsiTheme="majorHAnsi" w:cstheme="majorHAnsi"/>
                <w:sz w:val="18"/>
                <w:szCs w:val="18"/>
              </w:rPr>
              <w:t>-   15-18 YO: 1,652 (50% girls / 50% boys)</w:t>
            </w:r>
          </w:p>
          <w:p w14:paraId="025C4108" w14:textId="77777777" w:rsidR="00A10957" w:rsidRPr="008774CA" w:rsidRDefault="00F4083B" w:rsidP="00764798">
            <w:pPr>
              <w:pBdr>
                <w:top w:val="nil"/>
                <w:left w:val="nil"/>
                <w:bottom w:val="nil"/>
                <w:right w:val="nil"/>
                <w:between w:val="nil"/>
              </w:pBdr>
              <w:spacing w:after="60" w:line="240" w:lineRule="auto"/>
              <w:ind w:left="140" w:right="100" w:hanging="50"/>
              <w:rPr>
                <w:rFonts w:asciiTheme="majorHAnsi" w:hAnsiTheme="majorHAnsi" w:cstheme="majorHAnsi"/>
                <w:sz w:val="18"/>
                <w:szCs w:val="18"/>
              </w:rPr>
            </w:pPr>
            <w:r w:rsidRPr="00764798">
              <w:rPr>
                <w:rFonts w:asciiTheme="majorHAnsi" w:hAnsiTheme="majorHAnsi" w:cstheme="majorHAnsi"/>
                <w:sz w:val="18"/>
                <w:szCs w:val="18"/>
              </w:rPr>
              <w:t>-   19-24</w:t>
            </w:r>
            <w:r w:rsidRPr="008774CA">
              <w:rPr>
                <w:rFonts w:asciiTheme="majorHAnsi" w:eastAsia="Arial" w:hAnsiTheme="majorHAnsi" w:cstheme="majorHAnsi"/>
                <w:sz w:val="18"/>
                <w:szCs w:val="18"/>
              </w:rPr>
              <w:t xml:space="preserve"> YO: 648 (52% girls / 48% bo</w:t>
            </w:r>
            <w:r w:rsidRPr="008774CA">
              <w:rPr>
                <w:rFonts w:asciiTheme="majorHAnsi" w:hAnsiTheme="majorHAnsi" w:cstheme="majorHAnsi"/>
                <w:sz w:val="18"/>
                <w:szCs w:val="18"/>
              </w:rPr>
              <w:t>ys)</w:t>
            </w:r>
          </w:p>
        </w:tc>
      </w:tr>
    </w:tbl>
    <w:p w14:paraId="05391E16" w14:textId="17435214" w:rsidR="00A10957" w:rsidRPr="00D665EE" w:rsidRDefault="00A10957" w:rsidP="00FD633D">
      <w:pPr>
        <w:pStyle w:val="Heading2"/>
        <w:rPr>
          <w:rFonts w:asciiTheme="majorHAnsi" w:hAnsiTheme="majorHAnsi" w:cstheme="majorHAnsi"/>
          <w:b/>
          <w:color w:val="FF0000"/>
          <w:sz w:val="28"/>
          <w:szCs w:val="28"/>
        </w:rPr>
      </w:pPr>
    </w:p>
    <w:p w14:paraId="7B43ED8F" w14:textId="77777777" w:rsidR="00A10957" w:rsidRPr="00764798" w:rsidRDefault="00F4083B">
      <w:pPr>
        <w:pStyle w:val="Heading2"/>
        <w:rPr>
          <w:rFonts w:asciiTheme="majorHAnsi" w:hAnsiTheme="majorHAnsi" w:cstheme="majorHAnsi"/>
          <w:sz w:val="24"/>
          <w:szCs w:val="24"/>
        </w:rPr>
      </w:pPr>
      <w:bookmarkStart w:id="4" w:name="_4i7ojhp" w:colFirst="0" w:colLast="0"/>
      <w:bookmarkEnd w:id="4"/>
      <w:r w:rsidRPr="00764798">
        <w:rPr>
          <w:rFonts w:asciiTheme="majorHAnsi" w:hAnsiTheme="majorHAnsi" w:cstheme="majorHAnsi"/>
          <w:sz w:val="24"/>
          <w:szCs w:val="24"/>
        </w:rPr>
        <w:t>4.2 Sector needs analysis</w:t>
      </w:r>
    </w:p>
    <w:p w14:paraId="31C588B9" w14:textId="77777777" w:rsidR="00060559" w:rsidRDefault="00060559">
      <w:pPr>
        <w:spacing w:after="0" w:line="240" w:lineRule="auto"/>
        <w:jc w:val="both"/>
        <w:rPr>
          <w:rFonts w:asciiTheme="majorHAnsi" w:eastAsia="Proxima Nova" w:hAnsiTheme="majorHAnsi" w:cstheme="majorHAnsi"/>
          <w:b/>
        </w:rPr>
      </w:pPr>
    </w:p>
    <w:p w14:paraId="77FD704C" w14:textId="14A5A55C" w:rsidR="00A10957" w:rsidRPr="00D665EE" w:rsidRDefault="00F4083B">
      <w:pPr>
        <w:spacing w:after="0" w:line="240" w:lineRule="auto"/>
        <w:jc w:val="both"/>
        <w:rPr>
          <w:rFonts w:asciiTheme="majorHAnsi" w:eastAsia="Proxima Nova" w:hAnsiTheme="majorHAnsi" w:cstheme="majorHAnsi"/>
          <w:b/>
        </w:rPr>
      </w:pPr>
      <w:r w:rsidRPr="00D665EE">
        <w:rPr>
          <w:rFonts w:asciiTheme="majorHAnsi" w:eastAsia="Proxima Nova" w:hAnsiTheme="majorHAnsi" w:cstheme="majorHAnsi"/>
          <w:b/>
        </w:rPr>
        <w:t>Needs of refugees</w:t>
      </w:r>
    </w:p>
    <w:p w14:paraId="50C9FC6F" w14:textId="77777777" w:rsidR="00A10957" w:rsidRPr="00060559" w:rsidRDefault="00F4083B">
      <w:pPr>
        <w:spacing w:before="120"/>
        <w:jc w:val="both"/>
        <w:rPr>
          <w:rFonts w:asciiTheme="majorHAnsi" w:eastAsia="Proxima Nova" w:hAnsiTheme="majorHAnsi" w:cstheme="majorHAnsi"/>
          <w:color w:val="000000"/>
          <w:sz w:val="20"/>
          <w:szCs w:val="20"/>
        </w:rPr>
      </w:pPr>
      <w:r w:rsidRPr="00060559">
        <w:rPr>
          <w:rFonts w:asciiTheme="majorHAnsi" w:eastAsia="Proxima Nova" w:hAnsiTheme="majorHAnsi" w:cstheme="majorHAnsi"/>
          <w:color w:val="000000"/>
          <w:sz w:val="20"/>
          <w:szCs w:val="20"/>
        </w:rPr>
        <w:t>Despite significant progress made these last two years in providing safe and systematic access to learning opportunities, more than 40% of Rohingya children and youth aged 3-24 years old still need to receive access to education. 69% of refugee households reported at least one 5-17 years old aged child not attending any learning opportunities (JMSNA, 2019). Furthermore, an alarming 89% of the adolescents and youth aged 15-24 years old don’t have access to any educational activities.</w:t>
      </w:r>
    </w:p>
    <w:p w14:paraId="6FE60CA8" w14:textId="77777777" w:rsidR="00A10957" w:rsidRPr="00060559" w:rsidRDefault="00F4083B">
      <w:pPr>
        <w:spacing w:before="120"/>
        <w:jc w:val="both"/>
        <w:rPr>
          <w:rFonts w:asciiTheme="majorHAnsi" w:eastAsia="Proxima Nova" w:hAnsiTheme="majorHAnsi" w:cstheme="majorHAnsi"/>
          <w:color w:val="000000"/>
          <w:sz w:val="20"/>
          <w:szCs w:val="20"/>
        </w:rPr>
      </w:pPr>
      <w:r w:rsidRPr="00060559">
        <w:rPr>
          <w:rFonts w:asciiTheme="majorHAnsi" w:eastAsia="Proxima Nova" w:hAnsiTheme="majorHAnsi" w:cstheme="majorHAnsi"/>
          <w:color w:val="000000"/>
          <w:sz w:val="20"/>
          <w:szCs w:val="20"/>
        </w:rPr>
        <w:t>Education in emergencies provides children with life-saving information, including understanding their rights and responsibilities, disaster awareness, hygiene, and other survival skills. Conversely, the lack of basic education services has lifelong consequences and can prevent them from securing solutions and helping to build a peaceful and secure future for their community.</w:t>
      </w:r>
    </w:p>
    <w:p w14:paraId="67807D2B" w14:textId="77777777" w:rsidR="00A10957" w:rsidRPr="00060559" w:rsidRDefault="00F4083B">
      <w:pPr>
        <w:spacing w:before="120"/>
        <w:jc w:val="both"/>
        <w:rPr>
          <w:rFonts w:asciiTheme="majorHAnsi" w:eastAsia="Proxima Nova" w:hAnsiTheme="majorHAnsi" w:cstheme="majorHAnsi"/>
          <w:color w:val="000000"/>
          <w:sz w:val="20"/>
          <w:szCs w:val="20"/>
        </w:rPr>
      </w:pPr>
      <w:r w:rsidRPr="00060559">
        <w:rPr>
          <w:rFonts w:asciiTheme="majorHAnsi" w:eastAsia="Proxima Nova" w:hAnsiTheme="majorHAnsi" w:cstheme="majorHAnsi"/>
          <w:color w:val="000000"/>
          <w:sz w:val="20"/>
          <w:szCs w:val="20"/>
        </w:rPr>
        <w:t>The issue of gender inclusiveness is yet to be addressed, especially due to the lack of gender segregated latrines. Children with disabilities have the additional barriers of accessibility (ramps, roads, geographical terrain) and lack of inclusive teaching-learning materials, and are less likely to attend learning facilities (10 to 40% less than children without disability). Predominant socio-cultural barriers (23%), marriage (36%) and domestic support (20%) are the main factors preventing children and youth to fully access education opportunities (J-MSNA, 2019).</w:t>
      </w:r>
    </w:p>
    <w:p w14:paraId="3492C054" w14:textId="77777777" w:rsidR="00A10957" w:rsidRPr="00D665EE" w:rsidRDefault="00F4083B">
      <w:pPr>
        <w:spacing w:after="0" w:line="240" w:lineRule="auto"/>
        <w:jc w:val="both"/>
        <w:rPr>
          <w:rFonts w:asciiTheme="majorHAnsi" w:eastAsia="Proxima Nova" w:hAnsiTheme="majorHAnsi" w:cstheme="majorHAnsi"/>
          <w:i/>
        </w:rPr>
      </w:pPr>
      <w:r w:rsidRPr="00D665EE">
        <w:rPr>
          <w:rFonts w:asciiTheme="majorHAnsi" w:eastAsia="Proxima Nova" w:hAnsiTheme="majorHAnsi" w:cstheme="majorHAnsi"/>
          <w:b/>
        </w:rPr>
        <w:t xml:space="preserve">Needs of host communities </w:t>
      </w:r>
      <w:r w:rsidRPr="00D665EE">
        <w:rPr>
          <w:rFonts w:asciiTheme="majorHAnsi" w:eastAsia="Proxima Nova" w:hAnsiTheme="majorHAnsi" w:cstheme="majorHAnsi"/>
          <w:i/>
        </w:rPr>
        <w:t>(with specific consideration to those in immediate proximity to the camps)</w:t>
      </w:r>
    </w:p>
    <w:p w14:paraId="7CE92CE8" w14:textId="3C4F98B8" w:rsidR="00A10957" w:rsidRPr="00060559" w:rsidRDefault="00F4083B">
      <w:pPr>
        <w:spacing w:before="120"/>
        <w:jc w:val="both"/>
        <w:rPr>
          <w:rFonts w:asciiTheme="majorHAnsi" w:eastAsia="Proxima Nova" w:hAnsiTheme="majorHAnsi" w:cstheme="majorHAnsi"/>
          <w:color w:val="000000"/>
          <w:sz w:val="20"/>
          <w:szCs w:val="20"/>
        </w:rPr>
      </w:pPr>
      <w:r w:rsidRPr="00060559">
        <w:rPr>
          <w:rFonts w:asciiTheme="majorHAnsi" w:eastAsia="Proxima Nova" w:hAnsiTheme="majorHAnsi" w:cstheme="majorHAnsi"/>
          <w:color w:val="000000"/>
          <w:sz w:val="20"/>
          <w:szCs w:val="20"/>
        </w:rPr>
        <w:lastRenderedPageBreak/>
        <w:t xml:space="preserve">The rapid influx of August 2017 has stressed the communities and schools of </w:t>
      </w:r>
      <w:proofErr w:type="spellStart"/>
      <w:r w:rsidRPr="00060559">
        <w:rPr>
          <w:rFonts w:asciiTheme="majorHAnsi" w:eastAsia="Proxima Nova" w:hAnsiTheme="majorHAnsi" w:cstheme="majorHAnsi"/>
          <w:color w:val="000000"/>
          <w:sz w:val="20"/>
          <w:szCs w:val="20"/>
        </w:rPr>
        <w:t>Ukhiya</w:t>
      </w:r>
      <w:proofErr w:type="spellEnd"/>
      <w:r w:rsidRPr="00060559">
        <w:rPr>
          <w:rFonts w:asciiTheme="majorHAnsi" w:eastAsia="Proxima Nova" w:hAnsiTheme="majorHAnsi" w:cstheme="majorHAnsi"/>
          <w:color w:val="000000"/>
          <w:sz w:val="20"/>
          <w:szCs w:val="20"/>
        </w:rPr>
        <w:t xml:space="preserve"> and </w:t>
      </w:r>
      <w:proofErr w:type="spellStart"/>
      <w:r w:rsidRPr="00060559">
        <w:rPr>
          <w:rFonts w:asciiTheme="majorHAnsi" w:eastAsia="Proxima Nova" w:hAnsiTheme="majorHAnsi" w:cstheme="majorHAnsi"/>
          <w:color w:val="000000"/>
          <w:sz w:val="20"/>
          <w:szCs w:val="20"/>
        </w:rPr>
        <w:t>Teknaf</w:t>
      </w:r>
      <w:proofErr w:type="spellEnd"/>
      <w:r w:rsidRPr="00060559">
        <w:rPr>
          <w:rFonts w:asciiTheme="majorHAnsi" w:eastAsia="Proxima Nova" w:hAnsiTheme="majorHAnsi" w:cstheme="majorHAnsi"/>
          <w:color w:val="000000"/>
          <w:sz w:val="20"/>
          <w:szCs w:val="20"/>
        </w:rPr>
        <w:t xml:space="preserve"> </w:t>
      </w:r>
      <w:proofErr w:type="spellStart"/>
      <w:r w:rsidRPr="00060559">
        <w:rPr>
          <w:rFonts w:asciiTheme="majorHAnsi" w:eastAsia="Proxima Nova" w:hAnsiTheme="majorHAnsi" w:cstheme="majorHAnsi"/>
          <w:color w:val="000000"/>
          <w:sz w:val="20"/>
          <w:szCs w:val="20"/>
        </w:rPr>
        <w:t>Upazilas</w:t>
      </w:r>
      <w:proofErr w:type="spellEnd"/>
      <w:r w:rsidRPr="00060559">
        <w:rPr>
          <w:rFonts w:asciiTheme="majorHAnsi" w:eastAsia="Proxima Nova" w:hAnsiTheme="majorHAnsi" w:cstheme="majorHAnsi"/>
          <w:color w:val="000000"/>
          <w:sz w:val="20"/>
          <w:szCs w:val="20"/>
        </w:rPr>
        <w:t>, where enrolment and retention are among the lowest i</w:t>
      </w:r>
      <w:r w:rsidRPr="00060559">
        <w:rPr>
          <w:rFonts w:asciiTheme="majorHAnsi" w:eastAsia="Proxima Nova" w:hAnsiTheme="majorHAnsi" w:cstheme="majorHAnsi"/>
          <w:sz w:val="20"/>
          <w:szCs w:val="20"/>
        </w:rPr>
        <w:t xml:space="preserve">n the country (only 60% of individuals aged 12-24 reported to have completed primary school in </w:t>
      </w:r>
      <w:proofErr w:type="spellStart"/>
      <w:r w:rsidRPr="00060559">
        <w:rPr>
          <w:rFonts w:asciiTheme="majorHAnsi" w:eastAsia="Proxima Nova" w:hAnsiTheme="majorHAnsi" w:cstheme="majorHAnsi"/>
          <w:sz w:val="20"/>
          <w:szCs w:val="20"/>
        </w:rPr>
        <w:t>Teknaf</w:t>
      </w:r>
      <w:proofErr w:type="spellEnd"/>
      <w:r w:rsidRPr="00060559">
        <w:rPr>
          <w:rFonts w:asciiTheme="majorHAnsi" w:eastAsia="Proxima Nova" w:hAnsiTheme="majorHAnsi" w:cstheme="majorHAnsi"/>
          <w:sz w:val="20"/>
          <w:szCs w:val="20"/>
        </w:rPr>
        <w:t xml:space="preserve"> and 75% in </w:t>
      </w:r>
      <w:proofErr w:type="spellStart"/>
      <w:r w:rsidRPr="00060559">
        <w:rPr>
          <w:rFonts w:asciiTheme="majorHAnsi" w:eastAsia="Proxima Nova" w:hAnsiTheme="majorHAnsi" w:cstheme="majorHAnsi"/>
          <w:sz w:val="20"/>
          <w:szCs w:val="20"/>
        </w:rPr>
        <w:t>Ukhiya</w:t>
      </w:r>
      <w:proofErr w:type="spellEnd"/>
      <w:r w:rsidRPr="00060559">
        <w:rPr>
          <w:rFonts w:asciiTheme="majorHAnsi" w:eastAsia="Proxima Nova" w:hAnsiTheme="majorHAnsi" w:cstheme="majorHAnsi"/>
          <w:sz w:val="20"/>
          <w:szCs w:val="20"/>
        </w:rPr>
        <w:t xml:space="preserve"> - REACH/MSNA, March 2019)</w:t>
      </w:r>
    </w:p>
    <w:p w14:paraId="186CAAAF" w14:textId="77777777" w:rsidR="00A10957" w:rsidRPr="00060559" w:rsidRDefault="00F4083B">
      <w:pPr>
        <w:spacing w:before="120"/>
        <w:jc w:val="both"/>
        <w:rPr>
          <w:rFonts w:asciiTheme="majorHAnsi" w:eastAsia="Proxima Nova" w:hAnsiTheme="majorHAnsi" w:cstheme="majorHAnsi"/>
          <w:color w:val="000000"/>
          <w:sz w:val="20"/>
          <w:szCs w:val="20"/>
        </w:rPr>
      </w:pPr>
      <w:r w:rsidRPr="00060559">
        <w:rPr>
          <w:rFonts w:asciiTheme="majorHAnsi" w:eastAsia="Proxima Nova" w:hAnsiTheme="majorHAnsi" w:cstheme="majorHAnsi"/>
          <w:color w:val="000000"/>
          <w:sz w:val="20"/>
          <w:szCs w:val="20"/>
        </w:rPr>
        <w:t>Barriers to education span from being engaged in household chores or economic activities instead, due to high inflation on some goods in the area (32% - JMSNA 2019) to increased sentiment of insecurity (criminality, road traffic). As for the youth, only 26% are attending formal education during this current academic year.</w:t>
      </w:r>
    </w:p>
    <w:p w14:paraId="1BDCAC5B" w14:textId="2ADD4D4A" w:rsidR="00A10957" w:rsidRPr="00060559" w:rsidRDefault="00F4083B">
      <w:pPr>
        <w:spacing w:before="120"/>
        <w:jc w:val="both"/>
        <w:rPr>
          <w:rFonts w:asciiTheme="majorHAnsi" w:eastAsia="Proxima Nova" w:hAnsiTheme="majorHAnsi" w:cstheme="majorHAnsi"/>
          <w:color w:val="000000"/>
          <w:sz w:val="20"/>
          <w:szCs w:val="20"/>
        </w:rPr>
      </w:pPr>
      <w:r w:rsidRPr="00060559">
        <w:rPr>
          <w:rFonts w:asciiTheme="majorHAnsi" w:eastAsia="Proxima Nova" w:hAnsiTheme="majorHAnsi" w:cstheme="majorHAnsi"/>
          <w:color w:val="000000"/>
          <w:sz w:val="20"/>
          <w:szCs w:val="20"/>
        </w:rPr>
        <w:t>The quality of education has also been impacted due to the choices made by some community para-teachers to seek higher-paid occupations which became available in the camps with the humanitarian community.</w:t>
      </w:r>
    </w:p>
    <w:p w14:paraId="7BCCDC0C" w14:textId="77777777" w:rsidR="00A10957" w:rsidRPr="00764798" w:rsidRDefault="00F4083B">
      <w:pPr>
        <w:pStyle w:val="Heading2"/>
        <w:rPr>
          <w:rFonts w:asciiTheme="majorHAnsi" w:hAnsiTheme="majorHAnsi" w:cstheme="majorHAnsi"/>
          <w:sz w:val="24"/>
          <w:szCs w:val="24"/>
        </w:rPr>
      </w:pPr>
      <w:bookmarkStart w:id="5" w:name="_2xcytpi" w:colFirst="0" w:colLast="0"/>
      <w:bookmarkEnd w:id="5"/>
      <w:r w:rsidRPr="00764798">
        <w:rPr>
          <w:rFonts w:asciiTheme="majorHAnsi" w:hAnsiTheme="majorHAnsi" w:cstheme="majorHAnsi"/>
          <w:sz w:val="24"/>
          <w:szCs w:val="24"/>
        </w:rPr>
        <w:t>4.3 Sector Objectives</w:t>
      </w:r>
    </w:p>
    <w:p w14:paraId="7D22B303" w14:textId="77777777" w:rsidR="00A10957" w:rsidRPr="00060559" w:rsidRDefault="00F4083B">
      <w:pPr>
        <w:numPr>
          <w:ilvl w:val="0"/>
          <w:numId w:val="3"/>
        </w:numPr>
        <w:pBdr>
          <w:top w:val="nil"/>
          <w:left w:val="nil"/>
          <w:bottom w:val="nil"/>
          <w:right w:val="nil"/>
          <w:between w:val="nil"/>
        </w:pBdr>
        <w:spacing w:before="120" w:after="0"/>
        <w:jc w:val="both"/>
        <w:rPr>
          <w:rFonts w:asciiTheme="majorHAnsi" w:eastAsia="Proxima Nova" w:hAnsiTheme="majorHAnsi" w:cstheme="majorHAnsi"/>
          <w:color w:val="000000"/>
          <w:sz w:val="20"/>
          <w:szCs w:val="20"/>
        </w:rPr>
      </w:pPr>
      <w:r w:rsidRPr="00060559">
        <w:rPr>
          <w:rFonts w:asciiTheme="majorHAnsi" w:eastAsia="Proxima Nova" w:hAnsiTheme="majorHAnsi" w:cstheme="majorHAnsi"/>
          <w:color w:val="000000"/>
          <w:sz w:val="20"/>
          <w:szCs w:val="20"/>
        </w:rPr>
        <w:t xml:space="preserve">Access - Expand and strengthen immediate access to equitable learning opportunities, in a safe and protective environment, for crisis-affected refugee and host community girls and boys aged 3-24 years old. </w:t>
      </w:r>
      <w:r w:rsidRPr="00060559">
        <w:rPr>
          <w:rFonts w:asciiTheme="majorHAnsi" w:eastAsia="Proxima Nova" w:hAnsiTheme="majorHAnsi" w:cstheme="majorHAnsi"/>
          <w:b/>
          <w:color w:val="000000"/>
          <w:sz w:val="20"/>
          <w:szCs w:val="20"/>
        </w:rPr>
        <w:t>Relevant to SO1, SO2 &amp; SO3</w:t>
      </w:r>
    </w:p>
    <w:p w14:paraId="373A87A1" w14:textId="77777777" w:rsidR="00A10957" w:rsidRPr="00060559" w:rsidRDefault="00F4083B">
      <w:pPr>
        <w:numPr>
          <w:ilvl w:val="0"/>
          <w:numId w:val="3"/>
        </w:numPr>
        <w:pBdr>
          <w:top w:val="nil"/>
          <w:left w:val="nil"/>
          <w:bottom w:val="nil"/>
          <w:right w:val="nil"/>
          <w:between w:val="nil"/>
        </w:pBdr>
        <w:spacing w:after="0"/>
        <w:jc w:val="both"/>
        <w:rPr>
          <w:rFonts w:asciiTheme="majorHAnsi" w:eastAsia="Proxima Nova" w:hAnsiTheme="majorHAnsi" w:cstheme="majorHAnsi"/>
          <w:color w:val="000000"/>
          <w:sz w:val="20"/>
          <w:szCs w:val="20"/>
        </w:rPr>
      </w:pPr>
      <w:r w:rsidRPr="00060559">
        <w:rPr>
          <w:rFonts w:asciiTheme="majorHAnsi" w:eastAsia="Proxima Nova" w:hAnsiTheme="majorHAnsi" w:cstheme="majorHAnsi"/>
          <w:color w:val="000000"/>
          <w:sz w:val="20"/>
          <w:szCs w:val="20"/>
        </w:rPr>
        <w:t xml:space="preserve">Quality - Provide quality inclusive education to refugee and host community girls and boys aged 3-24 years old, aligned with Education Sector standards, and increase teaching-related professional development opportunities. </w:t>
      </w:r>
      <w:r w:rsidRPr="00060559">
        <w:rPr>
          <w:rFonts w:asciiTheme="majorHAnsi" w:eastAsia="Proxima Nova" w:hAnsiTheme="majorHAnsi" w:cstheme="majorHAnsi"/>
          <w:b/>
          <w:color w:val="000000"/>
          <w:sz w:val="20"/>
          <w:szCs w:val="20"/>
        </w:rPr>
        <w:t>Relevant to SO1, SO2 &amp; SO3</w:t>
      </w:r>
    </w:p>
    <w:p w14:paraId="5B7209F9" w14:textId="77777777" w:rsidR="00A10957" w:rsidRPr="00060559" w:rsidRDefault="00F4083B">
      <w:pPr>
        <w:numPr>
          <w:ilvl w:val="0"/>
          <w:numId w:val="3"/>
        </w:numPr>
        <w:pBdr>
          <w:top w:val="nil"/>
          <w:left w:val="nil"/>
          <w:bottom w:val="nil"/>
          <w:right w:val="nil"/>
          <w:between w:val="nil"/>
        </w:pBdr>
        <w:jc w:val="both"/>
        <w:rPr>
          <w:rFonts w:asciiTheme="majorHAnsi" w:eastAsia="Proxima Nova" w:hAnsiTheme="majorHAnsi" w:cstheme="majorHAnsi"/>
          <w:color w:val="000000"/>
          <w:sz w:val="20"/>
          <w:szCs w:val="20"/>
        </w:rPr>
      </w:pPr>
      <w:r w:rsidRPr="00060559">
        <w:rPr>
          <w:rFonts w:asciiTheme="majorHAnsi" w:eastAsia="Proxima Nova" w:hAnsiTheme="majorHAnsi" w:cstheme="majorHAnsi"/>
          <w:color w:val="000000"/>
          <w:sz w:val="20"/>
          <w:szCs w:val="20"/>
        </w:rPr>
        <w:t xml:space="preserve">Community Engagement - Ensure refugee and host community ownership and active participation and engagement in the education of girls and boys aged 3-24 years old. </w:t>
      </w:r>
      <w:r w:rsidRPr="00060559">
        <w:rPr>
          <w:rFonts w:asciiTheme="majorHAnsi" w:eastAsia="Proxima Nova" w:hAnsiTheme="majorHAnsi" w:cstheme="majorHAnsi"/>
          <w:b/>
          <w:color w:val="000000"/>
          <w:sz w:val="20"/>
          <w:szCs w:val="20"/>
        </w:rPr>
        <w:t>Relevant to SO1, SO2 &amp; SO3</w:t>
      </w:r>
    </w:p>
    <w:p w14:paraId="40F5712B" w14:textId="062E39B0" w:rsidR="00A10957" w:rsidRPr="00764798" w:rsidRDefault="00F4083B" w:rsidP="002F4705">
      <w:pPr>
        <w:pStyle w:val="Heading2"/>
        <w:spacing w:before="0" w:after="60" w:line="240" w:lineRule="auto"/>
        <w:rPr>
          <w:rFonts w:asciiTheme="majorHAnsi" w:hAnsiTheme="majorHAnsi" w:cstheme="majorHAnsi"/>
          <w:i/>
          <w:sz w:val="24"/>
          <w:szCs w:val="24"/>
        </w:rPr>
      </w:pPr>
      <w:bookmarkStart w:id="6" w:name="_1ci93xb" w:colFirst="0" w:colLast="0"/>
      <w:bookmarkEnd w:id="6"/>
      <w:r w:rsidRPr="00764798">
        <w:rPr>
          <w:rFonts w:asciiTheme="majorHAnsi" w:hAnsiTheme="majorHAnsi" w:cstheme="majorHAnsi"/>
          <w:sz w:val="24"/>
          <w:szCs w:val="24"/>
        </w:rPr>
        <w:t xml:space="preserve">4.4 Sector Response Strategy </w:t>
      </w:r>
      <w:r w:rsidRPr="00764798">
        <w:rPr>
          <w:rFonts w:asciiTheme="majorHAnsi" w:hAnsiTheme="majorHAnsi" w:cstheme="majorHAnsi"/>
          <w:i/>
          <w:sz w:val="24"/>
          <w:szCs w:val="24"/>
        </w:rPr>
        <w:t>(Refugee and host community programmes)</w:t>
      </w:r>
    </w:p>
    <w:p w14:paraId="78039D27" w14:textId="0A03694D" w:rsidR="00A10957" w:rsidRPr="002F4705" w:rsidRDefault="00F4083B" w:rsidP="002F4705">
      <w:pPr>
        <w:spacing w:after="60" w:line="240" w:lineRule="auto"/>
        <w:jc w:val="both"/>
        <w:rPr>
          <w:rFonts w:asciiTheme="majorHAnsi" w:eastAsia="Proxima Nova" w:hAnsiTheme="majorHAnsi" w:cstheme="majorHAnsi"/>
          <w:b/>
        </w:rPr>
      </w:pPr>
      <w:r w:rsidRPr="002F4705">
        <w:rPr>
          <w:rFonts w:asciiTheme="majorHAnsi" w:eastAsia="Proxima Nova" w:hAnsiTheme="majorHAnsi" w:cstheme="majorHAnsi"/>
          <w:b/>
        </w:rPr>
        <w:t>Refugee response strategy</w:t>
      </w:r>
      <w:r w:rsidR="00E6269A">
        <w:rPr>
          <w:rStyle w:val="FootnoteReference"/>
          <w:rFonts w:asciiTheme="majorHAnsi" w:eastAsia="Proxima Nova" w:hAnsiTheme="majorHAnsi" w:cstheme="majorHAnsi"/>
          <w:b/>
        </w:rPr>
        <w:footnoteReference w:id="4"/>
      </w:r>
    </w:p>
    <w:p w14:paraId="2E5E5729" w14:textId="5EDA3324" w:rsidR="00A10957" w:rsidRPr="00B26F42" w:rsidRDefault="00F4083B" w:rsidP="002F4705">
      <w:pPr>
        <w:spacing w:after="60" w:line="240" w:lineRule="auto"/>
        <w:jc w:val="both"/>
        <w:rPr>
          <w:rFonts w:asciiTheme="majorHAnsi" w:eastAsia="Proxima Nova" w:hAnsiTheme="majorHAnsi" w:cstheme="majorHAnsi"/>
          <w:sz w:val="20"/>
          <w:szCs w:val="20"/>
        </w:rPr>
      </w:pPr>
      <w:r w:rsidRPr="00B26F42">
        <w:rPr>
          <w:rFonts w:asciiTheme="majorHAnsi" w:eastAsia="Proxima Nova" w:hAnsiTheme="majorHAnsi" w:cstheme="majorHAnsi"/>
          <w:sz w:val="20"/>
          <w:szCs w:val="20"/>
        </w:rPr>
        <w:t>The Education Sector will coordinate the Myanmar Curriculum Pilot (MCP) project for Rohingya children and youth in Bangladesh with a view to facilitate reintegration upon their return to Myanmar</w:t>
      </w:r>
      <w:r w:rsidR="00D97402">
        <w:rPr>
          <w:rStyle w:val="FootnoteReference"/>
          <w:rFonts w:asciiTheme="majorHAnsi" w:eastAsia="Proxima Nova" w:hAnsiTheme="majorHAnsi" w:cstheme="majorHAnsi"/>
          <w:sz w:val="20"/>
          <w:szCs w:val="20"/>
        </w:rPr>
        <w:footnoteReference w:id="5"/>
      </w:r>
      <w:r w:rsidRPr="00B26F42">
        <w:rPr>
          <w:rFonts w:asciiTheme="majorHAnsi" w:eastAsia="Proxima Nova" w:hAnsiTheme="majorHAnsi" w:cstheme="majorHAnsi"/>
          <w:sz w:val="20"/>
          <w:szCs w:val="20"/>
        </w:rPr>
        <w:t>. The curriculum will be delivered as prescribed by the Myanmar curriculum framework with adaptations where appropriate for the context of the camp and the needs and feedback of Rohingya children</w:t>
      </w:r>
      <w:r w:rsidR="002F4705" w:rsidRPr="00E55D26">
        <w:rPr>
          <w:sz w:val="20"/>
          <w:szCs w:val="20"/>
          <w:vertAlign w:val="superscript"/>
        </w:rPr>
        <w:footnoteReference w:id="6"/>
      </w:r>
      <w:r w:rsidRPr="00B26F42">
        <w:rPr>
          <w:rFonts w:asciiTheme="majorHAnsi" w:eastAsia="Proxima Nova" w:hAnsiTheme="majorHAnsi" w:cstheme="majorHAnsi"/>
          <w:sz w:val="20"/>
          <w:szCs w:val="20"/>
        </w:rPr>
        <w:t>.</w:t>
      </w:r>
    </w:p>
    <w:p w14:paraId="15E6A6B9" w14:textId="77777777" w:rsidR="00A76BEC" w:rsidRDefault="00F4083B" w:rsidP="002F4705">
      <w:pPr>
        <w:spacing w:after="60" w:line="240" w:lineRule="auto"/>
        <w:jc w:val="both"/>
        <w:rPr>
          <w:rFonts w:asciiTheme="majorHAnsi" w:eastAsia="Proxima Nova" w:hAnsiTheme="majorHAnsi" w:cstheme="majorHAnsi"/>
          <w:sz w:val="20"/>
          <w:szCs w:val="20"/>
        </w:rPr>
      </w:pPr>
      <w:r w:rsidRPr="00B26F42">
        <w:rPr>
          <w:rFonts w:asciiTheme="majorHAnsi" w:eastAsia="Proxima Nova" w:hAnsiTheme="majorHAnsi" w:cstheme="majorHAnsi"/>
          <w:sz w:val="20"/>
          <w:szCs w:val="20"/>
        </w:rPr>
        <w:t>Until transition to the MCP is achieved, together with the Refugee Relief and Repatriation Commissioner and the Ministry of Primary and Mass Education, the Education Sector will ensure uninterrupted education for Rohingya children using the Learning Competency Framework and Approach (LCFA). To date, levels 1-2 have officially been approved</w:t>
      </w:r>
      <w:r w:rsidR="001C197D" w:rsidRPr="001C197D">
        <w:rPr>
          <w:rFonts w:asciiTheme="majorHAnsi" w:eastAsia="Proxima Nova" w:hAnsiTheme="majorHAnsi" w:cstheme="majorHAnsi"/>
          <w:sz w:val="20"/>
          <w:szCs w:val="20"/>
        </w:rPr>
        <w:t xml:space="preserve"> </w:t>
      </w:r>
      <w:r w:rsidR="001C197D" w:rsidRPr="00B26F42">
        <w:rPr>
          <w:rFonts w:asciiTheme="majorHAnsi" w:eastAsia="Proxima Nova" w:hAnsiTheme="majorHAnsi" w:cstheme="majorHAnsi"/>
          <w:sz w:val="20"/>
          <w:szCs w:val="20"/>
        </w:rPr>
        <w:t>by the Government of Bangladesh</w:t>
      </w:r>
      <w:r w:rsidRPr="00B26F42">
        <w:rPr>
          <w:rFonts w:asciiTheme="majorHAnsi" w:eastAsia="Proxima Nova" w:hAnsiTheme="majorHAnsi" w:cstheme="majorHAnsi"/>
          <w:sz w:val="20"/>
          <w:szCs w:val="20"/>
        </w:rPr>
        <w:t>, through the Guideline for Informal Education Programme</w:t>
      </w:r>
      <w:r w:rsidR="001C197D">
        <w:rPr>
          <w:rFonts w:asciiTheme="majorHAnsi" w:eastAsia="Proxima Nova" w:hAnsiTheme="majorHAnsi" w:cstheme="majorHAnsi"/>
          <w:sz w:val="20"/>
          <w:szCs w:val="20"/>
        </w:rPr>
        <w:t>, whilst</w:t>
      </w:r>
      <w:r w:rsidRPr="00B26F42">
        <w:rPr>
          <w:rFonts w:asciiTheme="majorHAnsi" w:eastAsia="Proxima Nova" w:hAnsiTheme="majorHAnsi" w:cstheme="majorHAnsi"/>
          <w:sz w:val="20"/>
          <w:szCs w:val="20"/>
        </w:rPr>
        <w:t xml:space="preserve"> Levels 3-4 are under review. </w:t>
      </w:r>
    </w:p>
    <w:p w14:paraId="37D1ACD6" w14:textId="379E6FCC" w:rsidR="00A10957" w:rsidRPr="00B26F42" w:rsidRDefault="00F4083B" w:rsidP="002F4705">
      <w:pPr>
        <w:spacing w:after="60" w:line="240" w:lineRule="auto"/>
        <w:jc w:val="both"/>
        <w:rPr>
          <w:rFonts w:asciiTheme="majorHAnsi" w:eastAsia="Proxima Nova" w:hAnsiTheme="majorHAnsi" w:cstheme="majorHAnsi"/>
          <w:sz w:val="20"/>
          <w:szCs w:val="20"/>
        </w:rPr>
      </w:pPr>
      <w:r w:rsidRPr="00B26F42">
        <w:rPr>
          <w:rFonts w:asciiTheme="majorHAnsi" w:eastAsia="Proxima Nova" w:hAnsiTheme="majorHAnsi" w:cstheme="majorHAnsi"/>
          <w:sz w:val="20"/>
          <w:szCs w:val="20"/>
        </w:rPr>
        <w:t>The Education Sector will aim to</w:t>
      </w:r>
      <w:r w:rsidR="001C197D">
        <w:rPr>
          <w:rFonts w:asciiTheme="majorHAnsi" w:eastAsia="Proxima Nova" w:hAnsiTheme="majorHAnsi" w:cstheme="majorHAnsi"/>
          <w:sz w:val="20"/>
          <w:szCs w:val="20"/>
        </w:rPr>
        <w:t xml:space="preserve"> further</w:t>
      </w:r>
      <w:r w:rsidRPr="00B26F42">
        <w:rPr>
          <w:rFonts w:asciiTheme="majorHAnsi" w:eastAsia="Proxima Nova" w:hAnsiTheme="majorHAnsi" w:cstheme="majorHAnsi"/>
          <w:sz w:val="20"/>
          <w:szCs w:val="20"/>
        </w:rPr>
        <w:t xml:space="preserve"> improve the quality of the learning environment, with qualified instructors and adequate learning materials</w:t>
      </w:r>
      <w:r w:rsidR="00A76BEC">
        <w:rPr>
          <w:rFonts w:asciiTheme="majorHAnsi" w:eastAsia="Proxima Nova" w:hAnsiTheme="majorHAnsi" w:cstheme="majorHAnsi"/>
          <w:sz w:val="20"/>
          <w:szCs w:val="20"/>
        </w:rPr>
        <w:t>, and will</w:t>
      </w:r>
      <w:r w:rsidR="00A76BEC" w:rsidRPr="00A76BEC">
        <w:rPr>
          <w:rFonts w:asciiTheme="majorHAnsi" w:eastAsia="Proxima Nova" w:hAnsiTheme="majorHAnsi" w:cstheme="majorHAnsi"/>
          <w:sz w:val="20"/>
          <w:szCs w:val="20"/>
        </w:rPr>
        <w:t xml:space="preserve"> </w:t>
      </w:r>
      <w:r w:rsidR="00A76BEC" w:rsidRPr="00B26F42">
        <w:rPr>
          <w:rFonts w:asciiTheme="majorHAnsi" w:eastAsia="Proxima Nova" w:hAnsiTheme="majorHAnsi" w:cstheme="majorHAnsi"/>
          <w:sz w:val="20"/>
          <w:szCs w:val="20"/>
        </w:rPr>
        <w:t>continue to explore mechanisms for internationally recognized accreditation, such the ASER+ rolled out in 2019</w:t>
      </w:r>
      <w:r w:rsidRPr="00B26F42">
        <w:rPr>
          <w:rFonts w:asciiTheme="majorHAnsi" w:eastAsia="Proxima Nova" w:hAnsiTheme="majorHAnsi" w:cstheme="majorHAnsi"/>
          <w:sz w:val="20"/>
          <w:szCs w:val="20"/>
        </w:rPr>
        <w:t xml:space="preserve">. </w:t>
      </w:r>
      <w:r w:rsidR="00EB6951">
        <w:rPr>
          <w:rFonts w:asciiTheme="majorHAnsi" w:eastAsia="Proxima Nova" w:hAnsiTheme="majorHAnsi" w:cstheme="majorHAnsi"/>
          <w:sz w:val="20"/>
          <w:szCs w:val="20"/>
        </w:rPr>
        <w:t>P</w:t>
      </w:r>
      <w:r w:rsidRPr="00B26F42">
        <w:rPr>
          <w:rFonts w:asciiTheme="majorHAnsi" w:eastAsia="Proxima Nova" w:hAnsiTheme="majorHAnsi" w:cstheme="majorHAnsi"/>
          <w:sz w:val="20"/>
          <w:szCs w:val="20"/>
        </w:rPr>
        <w:t>ending implementation of the MCP, the Education Sector will keep working with Cambridge University to develop a summative assessment, which will aim at certifying learning outcomes achieved in the LCFA.</w:t>
      </w:r>
    </w:p>
    <w:p w14:paraId="561A3AA6" w14:textId="7BD56BC3" w:rsidR="00A10957" w:rsidRPr="005C21AE" w:rsidRDefault="00F4083B" w:rsidP="002F4705">
      <w:pPr>
        <w:spacing w:after="60" w:line="240" w:lineRule="auto"/>
        <w:jc w:val="both"/>
        <w:rPr>
          <w:rFonts w:asciiTheme="majorHAnsi" w:eastAsia="Proxima Nova" w:hAnsiTheme="majorHAnsi" w:cstheme="majorHAnsi"/>
          <w:sz w:val="20"/>
          <w:szCs w:val="20"/>
        </w:rPr>
      </w:pPr>
      <w:r w:rsidRPr="005C21AE">
        <w:rPr>
          <w:rFonts w:asciiTheme="majorHAnsi" w:eastAsia="Proxima Nova" w:hAnsiTheme="majorHAnsi" w:cstheme="majorHAnsi"/>
          <w:sz w:val="20"/>
          <w:szCs w:val="20"/>
        </w:rPr>
        <w:t>89% of youth and adolescents don’t have access to any education at all, which triggers increasing levels of frustration and prevents them from accessing practical skills training opportunities. The Education Sector will build on progress made since mid-2019</w:t>
      </w:r>
      <w:r w:rsidR="00B5381E" w:rsidRPr="005C21AE">
        <w:rPr>
          <w:rStyle w:val="FootnoteReference"/>
          <w:rFonts w:asciiTheme="majorHAnsi" w:eastAsia="Proxima Nova" w:hAnsiTheme="majorHAnsi" w:cstheme="majorHAnsi"/>
          <w:sz w:val="20"/>
          <w:szCs w:val="20"/>
        </w:rPr>
        <w:footnoteReference w:id="7"/>
      </w:r>
      <w:r w:rsidRPr="005C21AE">
        <w:rPr>
          <w:rFonts w:asciiTheme="majorHAnsi" w:eastAsia="Proxima Nova" w:hAnsiTheme="majorHAnsi" w:cstheme="majorHAnsi"/>
          <w:sz w:val="20"/>
          <w:szCs w:val="20"/>
        </w:rPr>
        <w:t xml:space="preserve">, in enrolling youth in education programmes, including basic literacy and numeracy, and will expand skills development programmes and vocational training for refugee adolescents and youth to engage them productively and facilitate their sustainable reintegration back into Myanmar society. </w:t>
      </w:r>
    </w:p>
    <w:p w14:paraId="52C04B97" w14:textId="0F2B70D5" w:rsidR="00A10957" w:rsidRPr="005C21AE" w:rsidRDefault="006B533F" w:rsidP="002F4705">
      <w:pPr>
        <w:spacing w:after="60" w:line="240" w:lineRule="auto"/>
        <w:jc w:val="both"/>
        <w:rPr>
          <w:rFonts w:asciiTheme="majorHAnsi" w:eastAsia="Proxima Nova" w:hAnsiTheme="majorHAnsi" w:cstheme="majorHAnsi"/>
          <w:sz w:val="20"/>
          <w:szCs w:val="20"/>
        </w:rPr>
      </w:pPr>
      <w:r w:rsidRPr="00B26F42">
        <w:rPr>
          <w:rFonts w:asciiTheme="majorHAnsi" w:eastAsia="Proxima Nova" w:hAnsiTheme="majorHAnsi" w:cstheme="majorHAnsi"/>
          <w:sz w:val="20"/>
          <w:szCs w:val="20"/>
        </w:rPr>
        <w:lastRenderedPageBreak/>
        <w:t>The Education Sector will enhance the engagement of the affected populations in their children’s education, through cooperation with community leaders, religious authorities and community-based informal education networks. The expansion of the existing alternative modalities</w:t>
      </w:r>
      <w:r w:rsidRPr="00B26F42">
        <w:rPr>
          <w:rStyle w:val="FootnoteReference"/>
          <w:rFonts w:asciiTheme="majorHAnsi" w:eastAsia="Proxima Nova" w:hAnsiTheme="majorHAnsi" w:cstheme="majorHAnsi"/>
          <w:sz w:val="20"/>
          <w:szCs w:val="20"/>
        </w:rPr>
        <w:footnoteReference w:id="8"/>
      </w:r>
      <w:r w:rsidRPr="00B26F42">
        <w:rPr>
          <w:rFonts w:asciiTheme="majorHAnsi" w:eastAsia="Proxima Nova" w:hAnsiTheme="majorHAnsi" w:cstheme="majorHAnsi"/>
          <w:sz w:val="20"/>
          <w:szCs w:val="20"/>
        </w:rPr>
        <w:t>, such as the community-based learning facilities or other Sectors’ structures, will facilitate access to populations that cannot enroll into the traditional learning centres, in consultation with the communities within the catchment area</w:t>
      </w:r>
      <w:r w:rsidR="00043E5E">
        <w:rPr>
          <w:rFonts w:asciiTheme="majorHAnsi" w:eastAsia="Proxima Nova" w:hAnsiTheme="majorHAnsi" w:cstheme="majorHAnsi"/>
          <w:sz w:val="20"/>
          <w:szCs w:val="20"/>
        </w:rPr>
        <w:t xml:space="preserve">, and will build on the </w:t>
      </w:r>
      <w:r w:rsidR="00043E5E" w:rsidRPr="005C21AE">
        <w:rPr>
          <w:rFonts w:asciiTheme="majorHAnsi" w:eastAsia="Proxima Nova" w:hAnsiTheme="majorHAnsi" w:cstheme="majorHAnsi"/>
          <w:sz w:val="20"/>
          <w:szCs w:val="20"/>
        </w:rPr>
        <w:t>two-</w:t>
      </w:r>
      <w:proofErr w:type="spellStart"/>
      <w:r w:rsidR="00043E5E" w:rsidRPr="005C21AE">
        <w:rPr>
          <w:rFonts w:asciiTheme="majorHAnsi" w:eastAsia="Proxima Nova" w:hAnsiTheme="majorHAnsi" w:cstheme="majorHAnsi"/>
          <w:sz w:val="20"/>
          <w:szCs w:val="20"/>
        </w:rPr>
        <w:t>storey</w:t>
      </w:r>
      <w:proofErr w:type="spellEnd"/>
      <w:r w:rsidR="00043E5E">
        <w:rPr>
          <w:rFonts w:asciiTheme="majorHAnsi" w:eastAsia="Proxima Nova" w:hAnsiTheme="majorHAnsi" w:cstheme="majorHAnsi"/>
          <w:sz w:val="20"/>
          <w:szCs w:val="20"/>
        </w:rPr>
        <w:t xml:space="preserve"> learning </w:t>
      </w:r>
      <w:proofErr w:type="spellStart"/>
      <w:r w:rsidR="00043E5E">
        <w:rPr>
          <w:rFonts w:asciiTheme="majorHAnsi" w:eastAsia="Proxima Nova" w:hAnsiTheme="majorHAnsi" w:cstheme="majorHAnsi"/>
          <w:sz w:val="20"/>
          <w:szCs w:val="20"/>
        </w:rPr>
        <w:t>centres</w:t>
      </w:r>
      <w:proofErr w:type="spellEnd"/>
      <w:r w:rsidR="00043E5E">
        <w:rPr>
          <w:rFonts w:asciiTheme="majorHAnsi" w:eastAsia="Proxima Nova" w:hAnsiTheme="majorHAnsi" w:cstheme="majorHAnsi"/>
          <w:sz w:val="20"/>
          <w:szCs w:val="20"/>
        </w:rPr>
        <w:t xml:space="preserve"> strategy</w:t>
      </w:r>
      <w:r w:rsidR="009D2ADB">
        <w:rPr>
          <w:rFonts w:asciiTheme="majorHAnsi" w:eastAsia="Proxima Nova" w:hAnsiTheme="majorHAnsi" w:cstheme="majorHAnsi"/>
          <w:sz w:val="20"/>
          <w:szCs w:val="20"/>
        </w:rPr>
        <w:t xml:space="preserve"> to </w:t>
      </w:r>
      <w:r w:rsidR="009D2ADB" w:rsidRPr="005C21AE">
        <w:rPr>
          <w:rFonts w:asciiTheme="majorHAnsi" w:eastAsia="Proxima Nova" w:hAnsiTheme="majorHAnsi" w:cstheme="majorHAnsi"/>
          <w:sz w:val="20"/>
          <w:szCs w:val="20"/>
        </w:rPr>
        <w:t>help mitigate the issue of space scarcity in the camps.</w:t>
      </w:r>
      <w:r w:rsidR="009D2ADB">
        <w:rPr>
          <w:rFonts w:asciiTheme="majorHAnsi" w:eastAsia="Proxima Nova" w:hAnsiTheme="majorHAnsi" w:cstheme="majorHAnsi"/>
          <w:sz w:val="20"/>
          <w:szCs w:val="20"/>
        </w:rPr>
        <w:t xml:space="preserve"> </w:t>
      </w:r>
      <w:r w:rsidR="00F4083B" w:rsidRPr="005C21AE">
        <w:rPr>
          <w:rFonts w:asciiTheme="majorHAnsi" w:eastAsia="Proxima Nova" w:hAnsiTheme="majorHAnsi" w:cstheme="majorHAnsi"/>
          <w:sz w:val="20"/>
          <w:szCs w:val="20"/>
        </w:rPr>
        <w:t xml:space="preserve">The structures, </w:t>
      </w:r>
      <w:r w:rsidR="009D2ADB" w:rsidRPr="005C21AE">
        <w:rPr>
          <w:rFonts w:asciiTheme="majorHAnsi" w:eastAsia="Proxima Nova" w:hAnsiTheme="majorHAnsi" w:cstheme="majorHAnsi"/>
          <w:sz w:val="20"/>
          <w:szCs w:val="20"/>
        </w:rPr>
        <w:t>safe</w:t>
      </w:r>
      <w:r w:rsidR="009D2ADB">
        <w:rPr>
          <w:rFonts w:asciiTheme="majorHAnsi" w:eastAsia="Proxima Nova" w:hAnsiTheme="majorHAnsi" w:cstheme="majorHAnsi"/>
          <w:sz w:val="20"/>
          <w:szCs w:val="20"/>
        </w:rPr>
        <w:t>r</w:t>
      </w:r>
      <w:r w:rsidR="009D2ADB" w:rsidRPr="005C21AE">
        <w:rPr>
          <w:rFonts w:asciiTheme="majorHAnsi" w:eastAsia="Proxima Nova" w:hAnsiTheme="majorHAnsi" w:cstheme="majorHAnsi"/>
          <w:sz w:val="20"/>
          <w:szCs w:val="20"/>
        </w:rPr>
        <w:t xml:space="preserve"> and</w:t>
      </w:r>
      <w:r w:rsidR="009D2ADB" w:rsidRPr="009D2ADB">
        <w:rPr>
          <w:rFonts w:asciiTheme="majorHAnsi" w:eastAsia="Proxima Nova" w:hAnsiTheme="majorHAnsi" w:cstheme="majorHAnsi"/>
          <w:sz w:val="20"/>
          <w:szCs w:val="20"/>
        </w:rPr>
        <w:t xml:space="preserve"> </w:t>
      </w:r>
      <w:r w:rsidR="009D2ADB" w:rsidRPr="005C21AE">
        <w:rPr>
          <w:rFonts w:asciiTheme="majorHAnsi" w:eastAsia="Proxima Nova" w:hAnsiTheme="majorHAnsi" w:cstheme="majorHAnsi"/>
          <w:sz w:val="20"/>
          <w:szCs w:val="20"/>
        </w:rPr>
        <w:t>more sustainable</w:t>
      </w:r>
      <w:r w:rsidR="009D2ADB">
        <w:rPr>
          <w:rFonts w:asciiTheme="majorHAnsi" w:eastAsia="Proxima Nova" w:hAnsiTheme="majorHAnsi" w:cstheme="majorHAnsi"/>
          <w:sz w:val="20"/>
          <w:szCs w:val="20"/>
        </w:rPr>
        <w:t xml:space="preserve">, have </w:t>
      </w:r>
      <w:r w:rsidR="00F4083B" w:rsidRPr="005C21AE">
        <w:rPr>
          <w:rFonts w:asciiTheme="majorHAnsi" w:eastAsia="Proxima Nova" w:hAnsiTheme="majorHAnsi" w:cstheme="majorHAnsi"/>
          <w:sz w:val="20"/>
          <w:szCs w:val="20"/>
        </w:rPr>
        <w:t xml:space="preserve">respectively </w:t>
      </w:r>
      <w:r w:rsidR="009D2ADB">
        <w:rPr>
          <w:rFonts w:asciiTheme="majorHAnsi" w:eastAsia="Proxima Nova" w:hAnsiTheme="majorHAnsi" w:cstheme="majorHAnsi"/>
          <w:sz w:val="20"/>
          <w:szCs w:val="20"/>
        </w:rPr>
        <w:t xml:space="preserve">been </w:t>
      </w:r>
      <w:r w:rsidR="00F4083B" w:rsidRPr="005C21AE">
        <w:rPr>
          <w:rFonts w:asciiTheme="majorHAnsi" w:eastAsia="Proxima Nova" w:hAnsiTheme="majorHAnsi" w:cstheme="majorHAnsi"/>
          <w:sz w:val="20"/>
          <w:szCs w:val="20"/>
        </w:rPr>
        <w:t xml:space="preserve">developed and rolled out in consultation with the Shelter and the </w:t>
      </w:r>
      <w:r w:rsidR="009445CE" w:rsidRPr="005C21AE">
        <w:rPr>
          <w:rFonts w:asciiTheme="majorHAnsi" w:eastAsia="Proxima Nova" w:hAnsiTheme="majorHAnsi" w:cstheme="majorHAnsi"/>
          <w:sz w:val="20"/>
          <w:szCs w:val="20"/>
        </w:rPr>
        <w:t>SMSD</w:t>
      </w:r>
      <w:r w:rsidR="00F4083B" w:rsidRPr="005C21AE">
        <w:rPr>
          <w:rFonts w:asciiTheme="majorHAnsi" w:eastAsia="Proxima Nova" w:hAnsiTheme="majorHAnsi" w:cstheme="majorHAnsi"/>
          <w:sz w:val="20"/>
          <w:szCs w:val="20"/>
        </w:rPr>
        <w:t xml:space="preserve"> sectors, </w:t>
      </w:r>
      <w:r w:rsidR="009D2ADB">
        <w:rPr>
          <w:rFonts w:asciiTheme="majorHAnsi" w:eastAsia="Proxima Nova" w:hAnsiTheme="majorHAnsi" w:cstheme="majorHAnsi"/>
          <w:sz w:val="20"/>
          <w:szCs w:val="20"/>
        </w:rPr>
        <w:t xml:space="preserve">and </w:t>
      </w:r>
      <w:r w:rsidR="00F4083B" w:rsidRPr="005C21AE">
        <w:rPr>
          <w:rFonts w:asciiTheme="majorHAnsi" w:eastAsia="Proxima Nova" w:hAnsiTheme="majorHAnsi" w:cstheme="majorHAnsi"/>
          <w:sz w:val="20"/>
          <w:szCs w:val="20"/>
        </w:rPr>
        <w:t>can be adapted to other sector needs.</w:t>
      </w:r>
    </w:p>
    <w:p w14:paraId="1C8551F6" w14:textId="77777777" w:rsidR="002F4705" w:rsidRDefault="002F4705">
      <w:pPr>
        <w:spacing w:after="0" w:line="240" w:lineRule="auto"/>
        <w:jc w:val="both"/>
        <w:rPr>
          <w:rFonts w:asciiTheme="majorHAnsi" w:eastAsia="Proxima Nova" w:hAnsiTheme="majorHAnsi" w:cstheme="majorHAnsi"/>
          <w:b/>
        </w:rPr>
      </w:pPr>
    </w:p>
    <w:p w14:paraId="582D7DBF" w14:textId="77777777" w:rsidR="002F4705" w:rsidRDefault="00F4083B" w:rsidP="002F4705">
      <w:pPr>
        <w:spacing w:after="60" w:line="240" w:lineRule="auto"/>
        <w:jc w:val="both"/>
        <w:rPr>
          <w:rFonts w:asciiTheme="majorHAnsi" w:eastAsia="Proxima Nova" w:hAnsiTheme="majorHAnsi" w:cstheme="majorHAnsi"/>
          <w:b/>
        </w:rPr>
      </w:pPr>
      <w:r w:rsidRPr="002F4705">
        <w:rPr>
          <w:rFonts w:asciiTheme="majorHAnsi" w:eastAsia="Proxima Nova" w:hAnsiTheme="majorHAnsi" w:cstheme="majorHAnsi"/>
          <w:b/>
        </w:rPr>
        <w:t xml:space="preserve">Host community response strategy </w:t>
      </w:r>
    </w:p>
    <w:p w14:paraId="218367B3" w14:textId="4A523C8B" w:rsidR="00A10957" w:rsidRPr="00B26F42" w:rsidRDefault="00F4083B" w:rsidP="002F4705">
      <w:pPr>
        <w:spacing w:after="60" w:line="240" w:lineRule="auto"/>
        <w:jc w:val="both"/>
        <w:rPr>
          <w:rFonts w:asciiTheme="majorHAnsi" w:eastAsia="Proxima Nova" w:hAnsiTheme="majorHAnsi" w:cstheme="majorHAnsi"/>
          <w:sz w:val="20"/>
          <w:szCs w:val="20"/>
        </w:rPr>
      </w:pPr>
      <w:r w:rsidRPr="00B26F42">
        <w:rPr>
          <w:rFonts w:asciiTheme="majorHAnsi" w:eastAsia="Proxima Nova" w:hAnsiTheme="majorHAnsi" w:cstheme="majorHAnsi"/>
          <w:sz w:val="20"/>
          <w:szCs w:val="20"/>
        </w:rPr>
        <w:t xml:space="preserve">Following systematic consultations with the </w:t>
      </w:r>
      <w:r w:rsidR="00A65234">
        <w:rPr>
          <w:rFonts w:asciiTheme="majorHAnsi" w:eastAsia="Proxima Nova" w:hAnsiTheme="majorHAnsi" w:cstheme="majorHAnsi"/>
          <w:sz w:val="20"/>
          <w:szCs w:val="20"/>
        </w:rPr>
        <w:t>ADC</w:t>
      </w:r>
      <w:r w:rsidRPr="00B26F42">
        <w:rPr>
          <w:rFonts w:asciiTheme="majorHAnsi" w:eastAsia="Proxima Nova" w:hAnsiTheme="majorHAnsi" w:cstheme="majorHAnsi"/>
          <w:sz w:val="20"/>
          <w:szCs w:val="20"/>
        </w:rPr>
        <w:t xml:space="preserve">, the </w:t>
      </w:r>
      <w:r w:rsidR="00A65234">
        <w:rPr>
          <w:rFonts w:asciiTheme="majorHAnsi" w:eastAsia="Proxima Nova" w:hAnsiTheme="majorHAnsi" w:cstheme="majorHAnsi"/>
          <w:sz w:val="20"/>
          <w:szCs w:val="20"/>
        </w:rPr>
        <w:t>DPEO</w:t>
      </w:r>
      <w:r w:rsidRPr="00B26F42">
        <w:rPr>
          <w:rFonts w:asciiTheme="majorHAnsi" w:eastAsia="Proxima Nova" w:hAnsiTheme="majorHAnsi" w:cstheme="majorHAnsi"/>
          <w:sz w:val="20"/>
          <w:szCs w:val="20"/>
        </w:rPr>
        <w:t xml:space="preserve"> and the </w:t>
      </w:r>
      <w:r w:rsidR="00A65234">
        <w:rPr>
          <w:rFonts w:asciiTheme="majorHAnsi" w:eastAsia="Proxima Nova" w:hAnsiTheme="majorHAnsi" w:cstheme="majorHAnsi"/>
          <w:sz w:val="20"/>
          <w:szCs w:val="20"/>
        </w:rPr>
        <w:t>DEO</w:t>
      </w:r>
      <w:r w:rsidRPr="00B26F42">
        <w:rPr>
          <w:rFonts w:asciiTheme="majorHAnsi" w:eastAsia="Proxima Nova" w:hAnsiTheme="majorHAnsi" w:cstheme="majorHAnsi"/>
          <w:sz w:val="20"/>
          <w:szCs w:val="20"/>
        </w:rPr>
        <w:t xml:space="preserve">, the Education Sector’s host community strategy is aligned with the priority needs of the Government of Bangladesh. To ensure the transparency of aid provision and avoid duplication, processes are being established to share information, including the establishment of an Education Sector work area within the premises of the DPEO, and a conference and training room that will accommodate the Education Sector meetings, as well as DPEO trainings and conferences. </w:t>
      </w:r>
    </w:p>
    <w:p w14:paraId="492DFDCB" w14:textId="66520917" w:rsidR="00A10957" w:rsidRPr="00B26F42" w:rsidRDefault="00F4083B" w:rsidP="00B26F42">
      <w:pPr>
        <w:spacing w:after="60" w:line="240" w:lineRule="auto"/>
        <w:jc w:val="both"/>
        <w:rPr>
          <w:rFonts w:asciiTheme="majorHAnsi" w:eastAsia="Proxima Nova" w:hAnsiTheme="majorHAnsi" w:cstheme="majorHAnsi"/>
          <w:sz w:val="20"/>
          <w:szCs w:val="20"/>
        </w:rPr>
      </w:pPr>
      <w:r w:rsidRPr="00B26F42">
        <w:rPr>
          <w:rFonts w:asciiTheme="majorHAnsi" w:eastAsia="Proxima Nova" w:hAnsiTheme="majorHAnsi" w:cstheme="majorHAnsi"/>
          <w:sz w:val="20"/>
          <w:szCs w:val="20"/>
        </w:rPr>
        <w:t>The Education Sector will focus on system strengthening, rehabilitation of school infrastructure, provision of education supplies (priority will be given to the 10 primary and 10 secondary schools selected by DPEO</w:t>
      </w:r>
      <w:r w:rsidR="00472C23">
        <w:rPr>
          <w:rFonts w:asciiTheme="majorHAnsi" w:eastAsia="Proxima Nova" w:hAnsiTheme="majorHAnsi" w:cstheme="majorHAnsi"/>
          <w:sz w:val="20"/>
          <w:szCs w:val="20"/>
        </w:rPr>
        <w:t>/</w:t>
      </w:r>
      <w:r w:rsidRPr="00B26F42">
        <w:rPr>
          <w:rFonts w:asciiTheme="majorHAnsi" w:eastAsia="Proxima Nova" w:hAnsiTheme="majorHAnsi" w:cstheme="majorHAnsi"/>
          <w:sz w:val="20"/>
          <w:szCs w:val="20"/>
        </w:rPr>
        <w:t xml:space="preserve">DEO in </w:t>
      </w:r>
      <w:proofErr w:type="spellStart"/>
      <w:r w:rsidRPr="00B26F42">
        <w:rPr>
          <w:rFonts w:asciiTheme="majorHAnsi" w:eastAsia="Proxima Nova" w:hAnsiTheme="majorHAnsi" w:cstheme="majorHAnsi"/>
          <w:sz w:val="20"/>
          <w:szCs w:val="20"/>
        </w:rPr>
        <w:t>Ukhiya</w:t>
      </w:r>
      <w:proofErr w:type="spellEnd"/>
      <w:r w:rsidRPr="00B26F42">
        <w:rPr>
          <w:rFonts w:asciiTheme="majorHAnsi" w:eastAsia="Proxima Nova" w:hAnsiTheme="majorHAnsi" w:cstheme="majorHAnsi"/>
          <w:sz w:val="20"/>
          <w:szCs w:val="20"/>
        </w:rPr>
        <w:t xml:space="preserve"> and </w:t>
      </w:r>
      <w:proofErr w:type="spellStart"/>
      <w:r w:rsidRPr="00B26F42">
        <w:rPr>
          <w:rFonts w:asciiTheme="majorHAnsi" w:eastAsia="Proxima Nova" w:hAnsiTheme="majorHAnsi" w:cstheme="majorHAnsi"/>
          <w:sz w:val="20"/>
          <w:szCs w:val="20"/>
        </w:rPr>
        <w:t>Teknaf</w:t>
      </w:r>
      <w:proofErr w:type="spellEnd"/>
      <w:r w:rsidRPr="00B26F42">
        <w:rPr>
          <w:rFonts w:asciiTheme="majorHAnsi" w:eastAsia="Proxima Nova" w:hAnsiTheme="majorHAnsi" w:cstheme="majorHAnsi"/>
          <w:sz w:val="20"/>
          <w:szCs w:val="20"/>
        </w:rPr>
        <w:t xml:space="preserve">), and professional development of </w:t>
      </w:r>
      <w:r w:rsidR="00986DFF">
        <w:rPr>
          <w:rFonts w:asciiTheme="majorHAnsi" w:eastAsia="Proxima Nova" w:hAnsiTheme="majorHAnsi" w:cstheme="majorHAnsi"/>
          <w:sz w:val="20"/>
          <w:szCs w:val="20"/>
        </w:rPr>
        <w:t>teachers/</w:t>
      </w:r>
      <w:r w:rsidRPr="00B26F42">
        <w:rPr>
          <w:rFonts w:asciiTheme="majorHAnsi" w:eastAsia="Proxima Nova" w:hAnsiTheme="majorHAnsi" w:cstheme="majorHAnsi"/>
          <w:sz w:val="20"/>
          <w:szCs w:val="20"/>
        </w:rPr>
        <w:t>para-teachers working in government and non-formal schools</w:t>
      </w:r>
      <w:r w:rsidRPr="00472C23">
        <w:rPr>
          <w:rFonts w:asciiTheme="majorHAnsi" w:eastAsia="Proxima Nova" w:hAnsiTheme="majorHAnsi" w:cstheme="majorHAnsi"/>
          <w:sz w:val="20"/>
          <w:szCs w:val="20"/>
          <w:vertAlign w:val="superscript"/>
        </w:rPr>
        <w:footnoteReference w:id="9"/>
      </w:r>
      <w:r w:rsidRPr="00B26F42">
        <w:rPr>
          <w:rFonts w:asciiTheme="majorHAnsi" w:eastAsia="Proxima Nova" w:hAnsiTheme="majorHAnsi" w:cstheme="majorHAnsi"/>
          <w:sz w:val="20"/>
          <w:szCs w:val="20"/>
        </w:rPr>
        <w:t xml:space="preserve">. </w:t>
      </w:r>
    </w:p>
    <w:p w14:paraId="046E1E54" w14:textId="20CDD1A0" w:rsidR="00A10957" w:rsidRPr="00B26F42" w:rsidRDefault="00F4083B" w:rsidP="00B26F42">
      <w:pPr>
        <w:spacing w:after="60" w:line="240" w:lineRule="auto"/>
        <w:jc w:val="both"/>
        <w:rPr>
          <w:rFonts w:asciiTheme="majorHAnsi" w:eastAsia="Proxima Nova" w:hAnsiTheme="majorHAnsi" w:cstheme="majorHAnsi"/>
          <w:sz w:val="20"/>
          <w:szCs w:val="20"/>
        </w:rPr>
      </w:pPr>
      <w:r w:rsidRPr="00B26F42">
        <w:rPr>
          <w:rFonts w:asciiTheme="majorHAnsi" w:eastAsia="Proxima Nova" w:hAnsiTheme="majorHAnsi" w:cstheme="majorHAnsi"/>
          <w:sz w:val="20"/>
          <w:szCs w:val="20"/>
        </w:rPr>
        <w:t xml:space="preserve">In order to mitigate the effects of the influx, which has particularly hampered the continuation of adolescents and youths’ education, and to mitigate negative coping mechanisms and protection risks, special attention will be given to support programming targeting that population, such as the opportunity for 300 youths from </w:t>
      </w:r>
      <w:proofErr w:type="spellStart"/>
      <w:r w:rsidRPr="00B26F42">
        <w:rPr>
          <w:rFonts w:asciiTheme="majorHAnsi" w:eastAsia="Proxima Nova" w:hAnsiTheme="majorHAnsi" w:cstheme="majorHAnsi"/>
          <w:sz w:val="20"/>
          <w:szCs w:val="20"/>
        </w:rPr>
        <w:t>Ukhiya</w:t>
      </w:r>
      <w:proofErr w:type="spellEnd"/>
      <w:r w:rsidRPr="00B26F42">
        <w:rPr>
          <w:rFonts w:asciiTheme="majorHAnsi" w:eastAsia="Proxima Nova" w:hAnsiTheme="majorHAnsi" w:cstheme="majorHAnsi"/>
          <w:sz w:val="20"/>
          <w:szCs w:val="20"/>
        </w:rPr>
        <w:t xml:space="preserve"> and </w:t>
      </w:r>
      <w:proofErr w:type="spellStart"/>
      <w:r w:rsidRPr="00B26F42">
        <w:rPr>
          <w:rFonts w:asciiTheme="majorHAnsi" w:eastAsia="Proxima Nova" w:hAnsiTheme="majorHAnsi" w:cstheme="majorHAnsi"/>
          <w:sz w:val="20"/>
          <w:szCs w:val="20"/>
        </w:rPr>
        <w:t>Teknaf</w:t>
      </w:r>
      <w:proofErr w:type="spellEnd"/>
      <w:r w:rsidRPr="00B26F42">
        <w:rPr>
          <w:rFonts w:asciiTheme="majorHAnsi" w:eastAsia="Proxima Nova" w:hAnsiTheme="majorHAnsi" w:cstheme="majorHAnsi"/>
          <w:sz w:val="20"/>
          <w:szCs w:val="20"/>
        </w:rPr>
        <w:t xml:space="preserve"> to access vocational college and polytechnic institute in Cox’s Bazar</w:t>
      </w:r>
      <w:r w:rsidR="005D2C3B">
        <w:rPr>
          <w:rFonts w:asciiTheme="majorHAnsi" w:eastAsia="Proxima Nova" w:hAnsiTheme="majorHAnsi" w:cstheme="majorHAnsi"/>
          <w:sz w:val="20"/>
          <w:szCs w:val="20"/>
        </w:rPr>
        <w:t>.</w:t>
      </w:r>
    </w:p>
    <w:p w14:paraId="0F8E3E3B" w14:textId="77777777" w:rsidR="00A10957" w:rsidRPr="00B26F42" w:rsidRDefault="00F4083B" w:rsidP="00B26F42">
      <w:pPr>
        <w:spacing w:after="60" w:line="240" w:lineRule="auto"/>
        <w:jc w:val="both"/>
        <w:rPr>
          <w:rFonts w:asciiTheme="majorHAnsi" w:eastAsia="Proxima Nova" w:hAnsiTheme="majorHAnsi" w:cstheme="majorHAnsi"/>
          <w:sz w:val="20"/>
          <w:szCs w:val="20"/>
        </w:rPr>
      </w:pPr>
      <w:r w:rsidRPr="00B26F42">
        <w:rPr>
          <w:rFonts w:asciiTheme="majorHAnsi" w:eastAsia="Proxima Nova" w:hAnsiTheme="majorHAnsi" w:cstheme="majorHAnsi"/>
          <w:sz w:val="20"/>
          <w:szCs w:val="20"/>
        </w:rPr>
        <w:t>Communities will continue to be engaged through School Management Committees, parenting sessions, and community awareness and sensitization on disaster risk management and the importance of education.</w:t>
      </w:r>
    </w:p>
    <w:p w14:paraId="5EF61C5F" w14:textId="77777777" w:rsidR="00A10957" w:rsidRPr="00D665EE" w:rsidRDefault="00F4083B">
      <w:pPr>
        <w:spacing w:before="240" w:line="240" w:lineRule="auto"/>
        <w:jc w:val="both"/>
        <w:rPr>
          <w:rFonts w:asciiTheme="majorHAnsi" w:eastAsia="Proxima Nova" w:hAnsiTheme="majorHAnsi" w:cstheme="majorHAnsi"/>
          <w:i/>
        </w:rPr>
      </w:pPr>
      <w:r w:rsidRPr="00D665EE">
        <w:rPr>
          <w:rFonts w:asciiTheme="majorHAnsi" w:eastAsia="Proxima Nova" w:hAnsiTheme="majorHAnsi" w:cstheme="majorHAnsi"/>
          <w:b/>
          <w:color w:val="FF0000"/>
        </w:rPr>
        <w:t>Contingency for natural disaster</w:t>
      </w:r>
      <w:r w:rsidRPr="00D665EE">
        <w:rPr>
          <w:rFonts w:asciiTheme="majorHAnsi" w:eastAsia="Proxima Nova" w:hAnsiTheme="majorHAnsi" w:cstheme="majorHAnsi"/>
          <w:b/>
          <w:color w:val="FF0000"/>
          <w:sz w:val="28"/>
          <w:szCs w:val="28"/>
        </w:rPr>
        <w:t xml:space="preserve"> </w:t>
      </w:r>
    </w:p>
    <w:p w14:paraId="22AB5888" w14:textId="77777777" w:rsidR="00A10957" w:rsidRPr="00B26F42" w:rsidRDefault="00F4083B" w:rsidP="00B26F42">
      <w:pPr>
        <w:spacing w:after="60" w:line="240" w:lineRule="auto"/>
        <w:jc w:val="both"/>
        <w:rPr>
          <w:rFonts w:asciiTheme="majorHAnsi" w:eastAsia="Proxima Nova" w:hAnsiTheme="majorHAnsi" w:cstheme="majorHAnsi"/>
          <w:sz w:val="20"/>
          <w:szCs w:val="20"/>
        </w:rPr>
      </w:pPr>
      <w:r w:rsidRPr="00B26F42">
        <w:rPr>
          <w:rFonts w:asciiTheme="majorHAnsi" w:eastAsia="Proxima Nova" w:hAnsiTheme="majorHAnsi" w:cstheme="majorHAnsi"/>
          <w:sz w:val="20"/>
          <w:szCs w:val="20"/>
        </w:rPr>
        <w:t>The Education Sector will preposition of material supplies (such as emergency kits)</w:t>
      </w:r>
    </w:p>
    <w:p w14:paraId="22702217" w14:textId="77777777" w:rsidR="00A10957" w:rsidRPr="00B26F42" w:rsidRDefault="00F4083B" w:rsidP="00B26F42">
      <w:pPr>
        <w:spacing w:after="60" w:line="240" w:lineRule="auto"/>
        <w:jc w:val="both"/>
        <w:rPr>
          <w:rFonts w:asciiTheme="majorHAnsi" w:eastAsia="Proxima Nova" w:hAnsiTheme="majorHAnsi" w:cstheme="majorHAnsi"/>
          <w:sz w:val="20"/>
          <w:szCs w:val="20"/>
        </w:rPr>
      </w:pPr>
      <w:r w:rsidRPr="00B26F42">
        <w:rPr>
          <w:rFonts w:asciiTheme="majorHAnsi" w:eastAsia="Proxima Nova" w:hAnsiTheme="majorHAnsi" w:cstheme="majorHAnsi"/>
          <w:sz w:val="20"/>
          <w:szCs w:val="20"/>
        </w:rPr>
        <w:t>Learning facilities are one of the platforms used to circulate life-saving messages to the community.</w:t>
      </w:r>
    </w:p>
    <w:p w14:paraId="42D8872D" w14:textId="77777777" w:rsidR="00A10957" w:rsidRPr="00B26F42" w:rsidRDefault="00F4083B" w:rsidP="00B26F42">
      <w:pPr>
        <w:spacing w:after="60" w:line="240" w:lineRule="auto"/>
        <w:jc w:val="both"/>
        <w:rPr>
          <w:rFonts w:asciiTheme="majorHAnsi" w:eastAsia="Proxima Nova" w:hAnsiTheme="majorHAnsi" w:cstheme="majorHAnsi"/>
          <w:sz w:val="20"/>
          <w:szCs w:val="20"/>
        </w:rPr>
      </w:pPr>
      <w:r w:rsidRPr="00B26F42">
        <w:rPr>
          <w:rFonts w:asciiTheme="majorHAnsi" w:eastAsia="Proxima Nova" w:hAnsiTheme="majorHAnsi" w:cstheme="majorHAnsi"/>
          <w:sz w:val="20"/>
          <w:szCs w:val="20"/>
        </w:rPr>
        <w:t>Based on pre-identification from the CIC and the SMSD Sector, learning facilities will be used as 72-hour emergency shelters, should the needs arise.</w:t>
      </w:r>
    </w:p>
    <w:p w14:paraId="0F981F60" w14:textId="77777777" w:rsidR="00B26F42" w:rsidRDefault="00B26F42">
      <w:pPr>
        <w:jc w:val="both"/>
        <w:rPr>
          <w:rFonts w:asciiTheme="majorHAnsi" w:eastAsia="Proxima Nova" w:hAnsiTheme="majorHAnsi" w:cstheme="majorHAnsi"/>
          <w:b/>
          <w:color w:val="FF0000"/>
        </w:rPr>
      </w:pPr>
    </w:p>
    <w:p w14:paraId="07C69361" w14:textId="4B762C8E" w:rsidR="00A10957" w:rsidRPr="00D665EE" w:rsidRDefault="00F4083B">
      <w:pPr>
        <w:jc w:val="both"/>
        <w:rPr>
          <w:rFonts w:asciiTheme="majorHAnsi" w:eastAsia="Proxima Nova" w:hAnsiTheme="majorHAnsi" w:cstheme="majorHAnsi"/>
          <w:b/>
          <w:color w:val="FF0000"/>
        </w:rPr>
      </w:pPr>
      <w:r w:rsidRPr="00D665EE">
        <w:rPr>
          <w:rFonts w:asciiTheme="majorHAnsi" w:eastAsia="Proxima Nova" w:hAnsiTheme="majorHAnsi" w:cstheme="majorHAnsi"/>
          <w:b/>
          <w:color w:val="FF0000"/>
        </w:rPr>
        <w:t>Cross-cutting issues</w:t>
      </w:r>
    </w:p>
    <w:tbl>
      <w:tblPr>
        <w:tblStyle w:val="ad"/>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3"/>
        <w:gridCol w:w="7467"/>
      </w:tblGrid>
      <w:tr w:rsidR="00A10957" w:rsidRPr="00201497" w14:paraId="68A5976A" w14:textId="77777777">
        <w:trPr>
          <w:jc w:val="center"/>
        </w:trPr>
        <w:tc>
          <w:tcPr>
            <w:tcW w:w="1883" w:type="dxa"/>
          </w:tcPr>
          <w:p w14:paraId="6810B565" w14:textId="77777777" w:rsidR="00A10957" w:rsidRPr="00201497" w:rsidRDefault="00F4083B" w:rsidP="00C427D5">
            <w:pPr>
              <w:rPr>
                <w:rFonts w:asciiTheme="majorHAnsi" w:eastAsia="Proxima Nova" w:hAnsiTheme="majorHAnsi" w:cstheme="majorHAnsi"/>
                <w:sz w:val="18"/>
                <w:szCs w:val="18"/>
              </w:rPr>
            </w:pPr>
            <w:r w:rsidRPr="00201497">
              <w:rPr>
                <w:rFonts w:asciiTheme="majorHAnsi" w:eastAsia="Proxima Nova" w:hAnsiTheme="majorHAnsi" w:cstheme="majorHAnsi"/>
                <w:b/>
                <w:sz w:val="18"/>
                <w:szCs w:val="18"/>
              </w:rPr>
              <w:t>Protection mainstreaming</w:t>
            </w:r>
            <w:r w:rsidRPr="00201497">
              <w:rPr>
                <w:rFonts w:asciiTheme="majorHAnsi" w:eastAsia="Proxima Nova" w:hAnsiTheme="majorHAnsi" w:cstheme="majorHAnsi"/>
                <w:sz w:val="18"/>
                <w:szCs w:val="18"/>
              </w:rPr>
              <w:t xml:space="preserve"> (</w:t>
            </w:r>
            <w:r w:rsidRPr="00201497">
              <w:rPr>
                <w:rFonts w:asciiTheme="majorHAnsi" w:eastAsia="Proxima Nova" w:hAnsiTheme="majorHAnsi" w:cstheme="majorHAnsi"/>
                <w:i/>
                <w:sz w:val="18"/>
                <w:szCs w:val="18"/>
              </w:rPr>
              <w:t>including child safeguarding</w:t>
            </w:r>
            <w:r w:rsidRPr="00201497">
              <w:rPr>
                <w:rFonts w:asciiTheme="majorHAnsi" w:eastAsia="Proxima Nova" w:hAnsiTheme="majorHAnsi" w:cstheme="majorHAnsi"/>
                <w:sz w:val="18"/>
                <w:szCs w:val="18"/>
              </w:rPr>
              <w:t>)</w:t>
            </w:r>
          </w:p>
        </w:tc>
        <w:tc>
          <w:tcPr>
            <w:tcW w:w="7467" w:type="dxa"/>
          </w:tcPr>
          <w:p w14:paraId="640BD6A1" w14:textId="77777777" w:rsidR="00A10957" w:rsidRPr="00201497" w:rsidRDefault="00F4083B">
            <w:pPr>
              <w:spacing w:after="60"/>
              <w:jc w:val="both"/>
              <w:rPr>
                <w:rFonts w:asciiTheme="majorHAnsi" w:eastAsia="Proxima Nova" w:hAnsiTheme="majorHAnsi" w:cstheme="majorHAnsi"/>
                <w:sz w:val="18"/>
                <w:szCs w:val="18"/>
              </w:rPr>
            </w:pPr>
            <w:r w:rsidRPr="00201497">
              <w:rPr>
                <w:rFonts w:asciiTheme="majorHAnsi" w:eastAsia="Proxima Nova" w:hAnsiTheme="majorHAnsi" w:cstheme="majorHAnsi"/>
                <w:sz w:val="18"/>
                <w:szCs w:val="18"/>
              </w:rPr>
              <w:t xml:space="preserve">Equitable consideration of all children’s protection, safety, and other vulnerability factors, including specific needs of children with disabilities, will be applied to strive for the </w:t>
            </w:r>
            <w:r w:rsidRPr="00201497">
              <w:rPr>
                <w:rFonts w:asciiTheme="majorHAnsi" w:eastAsia="Proxima Nova" w:hAnsiTheme="majorHAnsi" w:cstheme="majorHAnsi"/>
                <w:b/>
                <w:sz w:val="18"/>
                <w:szCs w:val="18"/>
              </w:rPr>
              <w:t>four key elements of protection mainstreaming</w:t>
            </w:r>
            <w:r w:rsidRPr="00201497">
              <w:rPr>
                <w:rFonts w:asciiTheme="majorHAnsi" w:eastAsia="Proxima Nova" w:hAnsiTheme="majorHAnsi" w:cstheme="majorHAnsi"/>
                <w:sz w:val="18"/>
                <w:szCs w:val="18"/>
              </w:rPr>
              <w:t>: Safety, dignity and avoid causing harm; Accountability; Participation and empowerment; Meaningful access.</w:t>
            </w:r>
          </w:p>
          <w:p w14:paraId="3535D0C1" w14:textId="77777777" w:rsidR="00A10957" w:rsidRPr="00201497" w:rsidRDefault="00F4083B">
            <w:pPr>
              <w:spacing w:after="60"/>
              <w:jc w:val="both"/>
              <w:rPr>
                <w:rFonts w:asciiTheme="majorHAnsi" w:eastAsia="Proxima Nova" w:hAnsiTheme="majorHAnsi" w:cstheme="majorHAnsi"/>
                <w:b/>
                <w:sz w:val="18"/>
                <w:szCs w:val="18"/>
              </w:rPr>
            </w:pPr>
            <w:r w:rsidRPr="00201497">
              <w:rPr>
                <w:rFonts w:asciiTheme="majorHAnsi" w:eastAsia="Proxima Nova" w:hAnsiTheme="majorHAnsi" w:cstheme="majorHAnsi"/>
                <w:b/>
                <w:sz w:val="18"/>
                <w:szCs w:val="18"/>
              </w:rPr>
              <w:t xml:space="preserve">Learning facilities </w:t>
            </w:r>
            <w:r w:rsidRPr="00201497">
              <w:rPr>
                <w:rFonts w:asciiTheme="majorHAnsi" w:eastAsia="Proxima Nova" w:hAnsiTheme="majorHAnsi" w:cstheme="majorHAnsi"/>
                <w:sz w:val="18"/>
                <w:szCs w:val="18"/>
              </w:rPr>
              <w:t xml:space="preserve">are protective (based on do-no harm principles) and child-friendly. Refurbishment and provision of materials and equipment considers safety, protection, proper learning environment, age-appropriateness, and security. The learning facilities are established with due consideration to distance from traffic risks, crowding, and natural hazards. Segregated WASH facilities are functional and prevent diseases, accidents and other health risk factors. </w:t>
            </w:r>
          </w:p>
          <w:p w14:paraId="6C965606" w14:textId="2D639527" w:rsidR="00A10957" w:rsidRPr="00201497" w:rsidRDefault="00F4083B">
            <w:pPr>
              <w:spacing w:after="60"/>
              <w:jc w:val="both"/>
              <w:rPr>
                <w:rFonts w:asciiTheme="majorHAnsi" w:eastAsia="Proxima Nova" w:hAnsiTheme="majorHAnsi" w:cstheme="majorHAnsi"/>
                <w:sz w:val="18"/>
                <w:szCs w:val="18"/>
              </w:rPr>
            </w:pPr>
            <w:r w:rsidRPr="00201497">
              <w:rPr>
                <w:rFonts w:asciiTheme="majorHAnsi" w:eastAsia="Proxima Nova" w:hAnsiTheme="majorHAnsi" w:cstheme="majorHAnsi"/>
                <w:sz w:val="18"/>
                <w:szCs w:val="18"/>
              </w:rPr>
              <w:lastRenderedPageBreak/>
              <w:t xml:space="preserve">A participatory approach to </w:t>
            </w:r>
            <w:r w:rsidRPr="00201497">
              <w:rPr>
                <w:rFonts w:asciiTheme="majorHAnsi" w:eastAsia="Proxima Nova" w:hAnsiTheme="majorHAnsi" w:cstheme="majorHAnsi"/>
                <w:b/>
                <w:sz w:val="18"/>
                <w:szCs w:val="18"/>
              </w:rPr>
              <w:t>teaching and learning material</w:t>
            </w:r>
            <w:r w:rsidRPr="00201497">
              <w:rPr>
                <w:rFonts w:asciiTheme="majorHAnsi" w:eastAsia="Proxima Nova" w:hAnsiTheme="majorHAnsi" w:cstheme="majorHAnsi"/>
                <w:sz w:val="18"/>
                <w:szCs w:val="18"/>
              </w:rPr>
              <w:t xml:space="preserve"> development will be applied to ensure the content and approach are gender, cultural, and conflict sensitive. Teaching and learning materials strengthen protection principles, including child and adolescent rights, civic education, accessibility to critical </w:t>
            </w:r>
            <w:r w:rsidR="00C427D5" w:rsidRPr="00201497">
              <w:rPr>
                <w:rFonts w:asciiTheme="majorHAnsi" w:eastAsia="Proxima Nova" w:hAnsiTheme="majorHAnsi" w:cstheme="majorHAnsi"/>
                <w:sz w:val="18"/>
                <w:szCs w:val="18"/>
              </w:rPr>
              <w:t>services.</w:t>
            </w:r>
          </w:p>
          <w:p w14:paraId="5E6F232E" w14:textId="77777777" w:rsidR="00A10957" w:rsidRPr="00201497" w:rsidRDefault="00F4083B">
            <w:pPr>
              <w:spacing w:after="60"/>
              <w:jc w:val="both"/>
              <w:rPr>
                <w:rFonts w:asciiTheme="majorHAnsi" w:eastAsia="Proxima Nova" w:hAnsiTheme="majorHAnsi" w:cstheme="majorHAnsi"/>
                <w:sz w:val="18"/>
                <w:szCs w:val="18"/>
              </w:rPr>
            </w:pPr>
            <w:r w:rsidRPr="00201497">
              <w:rPr>
                <w:rFonts w:asciiTheme="majorHAnsi" w:eastAsia="Proxima Nova" w:hAnsiTheme="majorHAnsi" w:cstheme="majorHAnsi"/>
                <w:sz w:val="18"/>
                <w:szCs w:val="18"/>
              </w:rPr>
              <w:t xml:space="preserve">Awareness sessions are provided to caregivers to ensure </w:t>
            </w:r>
            <w:r w:rsidRPr="00201497">
              <w:rPr>
                <w:rFonts w:asciiTheme="majorHAnsi" w:eastAsia="Proxima Nova" w:hAnsiTheme="majorHAnsi" w:cstheme="majorHAnsi"/>
                <w:b/>
                <w:sz w:val="18"/>
                <w:szCs w:val="18"/>
              </w:rPr>
              <w:t>community engagement</w:t>
            </w:r>
            <w:r w:rsidRPr="00201497">
              <w:rPr>
                <w:rFonts w:asciiTheme="majorHAnsi" w:eastAsia="Proxima Nova" w:hAnsiTheme="majorHAnsi" w:cstheme="majorHAnsi"/>
                <w:sz w:val="18"/>
                <w:szCs w:val="18"/>
              </w:rPr>
              <w:t>, increase knowledge of child rights, and mitigate risks such as child marriage, child trafficking and child labor. Partners are sensitized to the rights of dignity and positive discipline. “Community watch” ensures protection of the most vulnerable children and is encouraged through dissemination of messaging developed in consultation with relevant sectors.</w:t>
            </w:r>
          </w:p>
        </w:tc>
      </w:tr>
      <w:tr w:rsidR="00A10957" w:rsidRPr="00201497" w14:paraId="48417653" w14:textId="77777777">
        <w:trPr>
          <w:jc w:val="center"/>
        </w:trPr>
        <w:tc>
          <w:tcPr>
            <w:tcW w:w="1883" w:type="dxa"/>
          </w:tcPr>
          <w:p w14:paraId="33AEB971" w14:textId="77777777" w:rsidR="00A10957" w:rsidRPr="00201497" w:rsidRDefault="00F4083B" w:rsidP="00C427D5">
            <w:pPr>
              <w:rPr>
                <w:rFonts w:asciiTheme="majorHAnsi" w:eastAsia="Proxima Nova" w:hAnsiTheme="majorHAnsi" w:cstheme="majorHAnsi"/>
                <w:b/>
                <w:sz w:val="18"/>
                <w:szCs w:val="18"/>
              </w:rPr>
            </w:pPr>
            <w:r w:rsidRPr="00201497">
              <w:rPr>
                <w:rFonts w:asciiTheme="majorHAnsi" w:eastAsia="Proxima Nova" w:hAnsiTheme="majorHAnsi" w:cstheme="majorHAnsi"/>
                <w:b/>
                <w:sz w:val="18"/>
                <w:szCs w:val="18"/>
              </w:rPr>
              <w:lastRenderedPageBreak/>
              <w:t xml:space="preserve">Gender mainstreaming </w:t>
            </w:r>
          </w:p>
          <w:p w14:paraId="510CE829" w14:textId="77777777" w:rsidR="00A10957" w:rsidRPr="00201497" w:rsidRDefault="00A10957" w:rsidP="00C427D5">
            <w:pPr>
              <w:rPr>
                <w:rFonts w:asciiTheme="majorHAnsi" w:eastAsia="Proxima Nova" w:hAnsiTheme="majorHAnsi" w:cstheme="majorHAnsi"/>
                <w:b/>
                <w:sz w:val="18"/>
                <w:szCs w:val="18"/>
              </w:rPr>
            </w:pPr>
          </w:p>
        </w:tc>
        <w:tc>
          <w:tcPr>
            <w:tcW w:w="7467" w:type="dxa"/>
          </w:tcPr>
          <w:p w14:paraId="77334B00" w14:textId="77777777" w:rsidR="00A10957" w:rsidRPr="00201497" w:rsidRDefault="00F4083B">
            <w:pPr>
              <w:spacing w:after="60"/>
              <w:jc w:val="both"/>
              <w:rPr>
                <w:rFonts w:asciiTheme="majorHAnsi" w:eastAsia="Proxima Nova" w:hAnsiTheme="majorHAnsi" w:cstheme="majorHAnsi"/>
                <w:sz w:val="18"/>
                <w:szCs w:val="18"/>
              </w:rPr>
            </w:pPr>
            <w:r w:rsidRPr="00201497">
              <w:rPr>
                <w:rFonts w:asciiTheme="majorHAnsi" w:eastAsia="Proxima Nova" w:hAnsiTheme="majorHAnsi" w:cstheme="majorHAnsi"/>
                <w:sz w:val="18"/>
                <w:szCs w:val="18"/>
              </w:rPr>
              <w:t>The Education Sector will continuously collect of disaggregated data (age, sex, disability) to ensure that all targeted children have access to safe, protective, and accessible learning environment.</w:t>
            </w:r>
          </w:p>
          <w:p w14:paraId="05D1449A" w14:textId="140A8F6A" w:rsidR="00A10957" w:rsidRPr="00201497" w:rsidRDefault="00F4083B">
            <w:pPr>
              <w:spacing w:after="60"/>
              <w:jc w:val="both"/>
              <w:rPr>
                <w:rFonts w:asciiTheme="majorHAnsi" w:eastAsia="Proxima Nova" w:hAnsiTheme="majorHAnsi" w:cstheme="majorHAnsi"/>
                <w:sz w:val="18"/>
                <w:szCs w:val="18"/>
              </w:rPr>
            </w:pPr>
            <w:r w:rsidRPr="00201497">
              <w:rPr>
                <w:rFonts w:asciiTheme="majorHAnsi" w:eastAsia="Proxima Nova" w:hAnsiTheme="majorHAnsi" w:cstheme="majorHAnsi"/>
                <w:sz w:val="18"/>
                <w:szCs w:val="18"/>
              </w:rPr>
              <w:t xml:space="preserve">Gender and inclusion sensitive </w:t>
            </w:r>
            <w:r w:rsidRPr="00201497">
              <w:rPr>
                <w:rFonts w:asciiTheme="majorHAnsi" w:eastAsia="Proxima Nova" w:hAnsiTheme="majorHAnsi" w:cstheme="majorHAnsi"/>
                <w:b/>
                <w:sz w:val="18"/>
                <w:szCs w:val="18"/>
              </w:rPr>
              <w:t>trainings for facilitators</w:t>
            </w:r>
            <w:r w:rsidRPr="00201497">
              <w:rPr>
                <w:rFonts w:asciiTheme="majorHAnsi" w:eastAsia="Proxima Nova" w:hAnsiTheme="majorHAnsi" w:cstheme="majorHAnsi"/>
                <w:sz w:val="18"/>
                <w:szCs w:val="18"/>
              </w:rPr>
              <w:t xml:space="preserve"> will be provided, and design and development of the teaching-learning content will be gender appropriate, such as integrating menstrual health and hygiene sessions for adolescents and youth. Gender and inclusion barriers for children and youth will be minimized through improvement of access to alternative learning facilities (community-based, cross-sector), which will be expanded and strengthened to prevent exclusion of girls and boys, and child and gender-friendly WASH services. The alternative learning facilities will, for example, offer the possibility of enrolling adolescents and youths segregated by sex after a certain age, or having same-sex facilitators. </w:t>
            </w:r>
            <w:r w:rsidRPr="00201497">
              <w:rPr>
                <w:rFonts w:asciiTheme="majorHAnsi" w:eastAsia="Proxima Nova" w:hAnsiTheme="majorHAnsi" w:cstheme="majorHAnsi"/>
                <w:b/>
                <w:sz w:val="18"/>
                <w:szCs w:val="18"/>
              </w:rPr>
              <w:t>Community-focused programmes</w:t>
            </w:r>
            <w:r w:rsidRPr="00201497">
              <w:rPr>
                <w:rFonts w:asciiTheme="majorHAnsi" w:eastAsia="Proxima Nova" w:hAnsiTheme="majorHAnsi" w:cstheme="majorHAnsi"/>
                <w:sz w:val="18"/>
                <w:szCs w:val="18"/>
              </w:rPr>
              <w:t xml:space="preserve"> will be conducted to raise awareness of the importance of education for all. </w:t>
            </w:r>
          </w:p>
        </w:tc>
      </w:tr>
      <w:tr w:rsidR="00A10957" w:rsidRPr="00201497" w14:paraId="6C18CB70" w14:textId="77777777">
        <w:trPr>
          <w:jc w:val="center"/>
        </w:trPr>
        <w:tc>
          <w:tcPr>
            <w:tcW w:w="1883" w:type="dxa"/>
          </w:tcPr>
          <w:p w14:paraId="126538B4" w14:textId="77777777" w:rsidR="00A10957" w:rsidRPr="00201497" w:rsidRDefault="00F4083B" w:rsidP="00C427D5">
            <w:pPr>
              <w:rPr>
                <w:rFonts w:asciiTheme="majorHAnsi" w:eastAsia="Proxima Nova" w:hAnsiTheme="majorHAnsi" w:cstheme="majorHAnsi"/>
                <w:b/>
                <w:sz w:val="18"/>
                <w:szCs w:val="18"/>
              </w:rPr>
            </w:pPr>
            <w:r w:rsidRPr="00201497">
              <w:rPr>
                <w:rFonts w:asciiTheme="majorHAnsi" w:eastAsia="Proxima Nova" w:hAnsiTheme="majorHAnsi" w:cstheme="majorHAnsi"/>
                <w:b/>
                <w:sz w:val="18"/>
                <w:szCs w:val="18"/>
              </w:rPr>
              <w:t xml:space="preserve">Environment and eco-system rehabilitation / Disaster Risk Reduction </w:t>
            </w:r>
          </w:p>
          <w:p w14:paraId="503D101B" w14:textId="77777777" w:rsidR="00A10957" w:rsidRPr="00201497" w:rsidRDefault="00A10957" w:rsidP="00C427D5">
            <w:pPr>
              <w:rPr>
                <w:rFonts w:asciiTheme="majorHAnsi" w:eastAsia="Proxima Nova" w:hAnsiTheme="majorHAnsi" w:cstheme="majorHAnsi"/>
                <w:b/>
                <w:sz w:val="18"/>
                <w:szCs w:val="18"/>
              </w:rPr>
            </w:pPr>
          </w:p>
        </w:tc>
        <w:tc>
          <w:tcPr>
            <w:tcW w:w="7467" w:type="dxa"/>
          </w:tcPr>
          <w:p w14:paraId="519FB6EC" w14:textId="77777777" w:rsidR="00A10957" w:rsidRPr="00201497" w:rsidRDefault="00F4083B">
            <w:pPr>
              <w:spacing w:after="60"/>
              <w:jc w:val="both"/>
              <w:rPr>
                <w:rFonts w:asciiTheme="majorHAnsi" w:eastAsia="Proxima Nova" w:hAnsiTheme="majorHAnsi" w:cstheme="majorHAnsi"/>
                <w:sz w:val="18"/>
                <w:szCs w:val="18"/>
              </w:rPr>
            </w:pPr>
            <w:r w:rsidRPr="00201497">
              <w:rPr>
                <w:rFonts w:asciiTheme="majorHAnsi" w:eastAsia="Proxima Nova" w:hAnsiTheme="majorHAnsi" w:cstheme="majorHAnsi"/>
                <w:sz w:val="18"/>
                <w:szCs w:val="18"/>
              </w:rPr>
              <w:t xml:space="preserve">Learning facilities will be upgraded with proper drainage, waste management systems and space allocation based on the WASH and SMSD minimum standards. Teaching-learning and life skills materials include </w:t>
            </w:r>
            <w:r w:rsidRPr="00201497">
              <w:rPr>
                <w:rFonts w:asciiTheme="majorHAnsi" w:eastAsia="Proxima Nova" w:hAnsiTheme="majorHAnsi" w:cstheme="majorHAnsi"/>
                <w:b/>
                <w:sz w:val="18"/>
                <w:szCs w:val="18"/>
              </w:rPr>
              <w:t>environment-friendly sensitization</w:t>
            </w:r>
            <w:r w:rsidRPr="00201497">
              <w:rPr>
                <w:rFonts w:asciiTheme="majorHAnsi" w:eastAsia="Proxima Nova" w:hAnsiTheme="majorHAnsi" w:cstheme="majorHAnsi"/>
                <w:sz w:val="18"/>
                <w:szCs w:val="18"/>
              </w:rPr>
              <w:t xml:space="preserve"> programmes, children and youth will cascade to raise awareness of the communities. </w:t>
            </w:r>
            <w:r w:rsidRPr="00201497">
              <w:rPr>
                <w:rFonts w:asciiTheme="majorHAnsi" w:eastAsia="Proxima Nova" w:hAnsiTheme="majorHAnsi" w:cstheme="majorHAnsi"/>
                <w:b/>
                <w:sz w:val="18"/>
                <w:szCs w:val="18"/>
              </w:rPr>
              <w:t>Initiatives such as greening of learning facilities</w:t>
            </w:r>
            <w:r w:rsidRPr="00201497">
              <w:rPr>
                <w:rFonts w:asciiTheme="majorHAnsi" w:eastAsia="Proxima Nova" w:hAnsiTheme="majorHAnsi" w:cstheme="majorHAnsi"/>
                <w:sz w:val="18"/>
                <w:szCs w:val="18"/>
              </w:rPr>
              <w:t xml:space="preserve"> and kitchen gardens are continuing, and children and youth are encouraged to plant trees and to manage waste and water properly to maintain a healthy ecosystem.</w:t>
            </w:r>
          </w:p>
          <w:p w14:paraId="773950C6" w14:textId="77777777" w:rsidR="00A10957" w:rsidRPr="00201497" w:rsidRDefault="00F4083B">
            <w:pPr>
              <w:spacing w:after="60"/>
              <w:jc w:val="both"/>
              <w:rPr>
                <w:rFonts w:asciiTheme="majorHAnsi" w:eastAsia="Proxima Nova" w:hAnsiTheme="majorHAnsi" w:cstheme="majorHAnsi"/>
                <w:sz w:val="18"/>
                <w:szCs w:val="18"/>
              </w:rPr>
            </w:pPr>
            <w:r w:rsidRPr="00201497">
              <w:rPr>
                <w:rFonts w:asciiTheme="majorHAnsi" w:eastAsia="Proxima Nova" w:hAnsiTheme="majorHAnsi" w:cstheme="majorHAnsi"/>
                <w:sz w:val="18"/>
                <w:szCs w:val="18"/>
              </w:rPr>
              <w:t xml:space="preserve">The </w:t>
            </w:r>
            <w:r w:rsidRPr="00201497">
              <w:rPr>
                <w:rFonts w:asciiTheme="majorHAnsi" w:eastAsia="Proxima Nova" w:hAnsiTheme="majorHAnsi" w:cstheme="majorHAnsi"/>
                <w:b/>
                <w:sz w:val="18"/>
                <w:szCs w:val="18"/>
              </w:rPr>
              <w:t>two-</w:t>
            </w:r>
            <w:proofErr w:type="spellStart"/>
            <w:r w:rsidRPr="00201497">
              <w:rPr>
                <w:rFonts w:asciiTheme="majorHAnsi" w:eastAsia="Proxima Nova" w:hAnsiTheme="majorHAnsi" w:cstheme="majorHAnsi"/>
                <w:b/>
                <w:sz w:val="18"/>
                <w:szCs w:val="18"/>
              </w:rPr>
              <w:t>storey</w:t>
            </w:r>
            <w:proofErr w:type="spellEnd"/>
            <w:r w:rsidRPr="00201497">
              <w:rPr>
                <w:rFonts w:asciiTheme="majorHAnsi" w:eastAsia="Proxima Nova" w:hAnsiTheme="majorHAnsi" w:cstheme="majorHAnsi"/>
                <w:b/>
                <w:sz w:val="18"/>
                <w:szCs w:val="18"/>
              </w:rPr>
              <w:t xml:space="preserve"> medium hazard resistant learning centres</w:t>
            </w:r>
            <w:r w:rsidRPr="00201497">
              <w:rPr>
                <w:rFonts w:asciiTheme="majorHAnsi" w:eastAsia="Proxima Nova" w:hAnsiTheme="majorHAnsi" w:cstheme="majorHAnsi"/>
                <w:sz w:val="18"/>
                <w:szCs w:val="18"/>
              </w:rPr>
              <w:t xml:space="preserve"> would enable a vertical expansion rather than expansion on the ground, which limits the utilization of space and forest devastation and offers safe emergency shelter in case of natural disaster.</w:t>
            </w:r>
          </w:p>
          <w:p w14:paraId="6CDCC259" w14:textId="77777777" w:rsidR="00A10957" w:rsidRPr="00201497" w:rsidRDefault="00F4083B">
            <w:pPr>
              <w:spacing w:after="60"/>
              <w:jc w:val="both"/>
              <w:rPr>
                <w:rFonts w:asciiTheme="majorHAnsi" w:eastAsia="Proxima Nova" w:hAnsiTheme="majorHAnsi" w:cstheme="majorHAnsi"/>
                <w:sz w:val="18"/>
                <w:szCs w:val="18"/>
              </w:rPr>
            </w:pPr>
            <w:r w:rsidRPr="00201497">
              <w:rPr>
                <w:rFonts w:asciiTheme="majorHAnsi" w:eastAsia="Proxima Nova" w:hAnsiTheme="majorHAnsi" w:cstheme="majorHAnsi"/>
                <w:b/>
                <w:sz w:val="18"/>
                <w:szCs w:val="18"/>
              </w:rPr>
              <w:t>Disaster risk reduction</w:t>
            </w:r>
            <w:r w:rsidRPr="00201497">
              <w:rPr>
                <w:rFonts w:asciiTheme="majorHAnsi" w:eastAsia="Proxima Nova" w:hAnsiTheme="majorHAnsi" w:cstheme="majorHAnsi"/>
                <w:sz w:val="18"/>
                <w:szCs w:val="18"/>
              </w:rPr>
              <w:t xml:space="preserve"> is included in the facilitator capacity building and is developed through a facility-wise emergency plan, adjusted to different types of disasters, and which includes alternative arrangements for learning facilities, safety of persons, security of material and psycho-social support. Increasing the durability of learning centres will also contribute. Disaster risk management awareness sessions, followed by periodic simulation and mock drills, will be provided for the community within the learning centres.</w:t>
            </w:r>
          </w:p>
        </w:tc>
      </w:tr>
    </w:tbl>
    <w:p w14:paraId="0E417250" w14:textId="77777777" w:rsidR="00A10957" w:rsidRPr="00D665EE" w:rsidRDefault="00A10957">
      <w:pPr>
        <w:rPr>
          <w:rFonts w:asciiTheme="majorHAnsi" w:hAnsiTheme="majorHAnsi" w:cstheme="majorHAnsi"/>
        </w:rPr>
      </w:pPr>
    </w:p>
    <w:p w14:paraId="097CFAE6" w14:textId="4E46FB72" w:rsidR="00A10957" w:rsidRPr="00C427D5" w:rsidRDefault="00F4083B" w:rsidP="00C427D5">
      <w:pPr>
        <w:pStyle w:val="Heading2"/>
        <w:spacing w:before="0" w:after="60" w:line="240" w:lineRule="auto"/>
        <w:rPr>
          <w:rFonts w:asciiTheme="majorHAnsi" w:hAnsiTheme="majorHAnsi" w:cstheme="majorHAnsi"/>
          <w:sz w:val="24"/>
          <w:szCs w:val="24"/>
        </w:rPr>
      </w:pPr>
      <w:r w:rsidRPr="00C427D5">
        <w:rPr>
          <w:rFonts w:asciiTheme="majorHAnsi" w:hAnsiTheme="majorHAnsi" w:cstheme="majorHAnsi"/>
          <w:sz w:val="24"/>
          <w:szCs w:val="24"/>
        </w:rPr>
        <w:t>4.5 Requirements</w:t>
      </w:r>
      <w:bookmarkStart w:id="7" w:name="_3whwml4" w:colFirst="0" w:colLast="0"/>
      <w:bookmarkEnd w:id="7"/>
    </w:p>
    <w:tbl>
      <w:tblPr>
        <w:tblStyle w:val="af"/>
        <w:tblW w:w="93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175"/>
        <w:gridCol w:w="4155"/>
      </w:tblGrid>
      <w:tr w:rsidR="00A10957" w:rsidRPr="00201497" w14:paraId="45C84B34" w14:textId="77777777">
        <w:trPr>
          <w:trHeight w:val="460"/>
        </w:trPr>
        <w:tc>
          <w:tcPr>
            <w:tcW w:w="5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B1FF0E" w14:textId="77777777" w:rsidR="00A10957" w:rsidRPr="00201497" w:rsidRDefault="00F4083B">
            <w:pPr>
              <w:spacing w:after="60" w:line="256" w:lineRule="auto"/>
              <w:jc w:val="both"/>
              <w:rPr>
                <w:rFonts w:asciiTheme="majorHAnsi" w:eastAsia="Proxima Nova" w:hAnsiTheme="majorHAnsi" w:cstheme="majorHAnsi"/>
                <w:sz w:val="18"/>
                <w:szCs w:val="18"/>
              </w:rPr>
            </w:pPr>
            <w:r w:rsidRPr="00201497">
              <w:rPr>
                <w:rFonts w:asciiTheme="majorHAnsi" w:eastAsia="Proxima Nova" w:hAnsiTheme="majorHAnsi" w:cstheme="majorHAnsi"/>
                <w:sz w:val="18"/>
                <w:szCs w:val="18"/>
              </w:rPr>
              <w:t>Budget requirement 2020 – refugee programme</w:t>
            </w:r>
          </w:p>
        </w:tc>
        <w:tc>
          <w:tcPr>
            <w:tcW w:w="41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9928A16" w14:textId="77777777" w:rsidR="00A10957" w:rsidRPr="00201497" w:rsidRDefault="00F4083B">
            <w:pPr>
              <w:spacing w:after="60" w:line="256" w:lineRule="auto"/>
              <w:ind w:left="100"/>
              <w:jc w:val="both"/>
              <w:rPr>
                <w:rFonts w:asciiTheme="majorHAnsi" w:eastAsia="Proxima Nova" w:hAnsiTheme="majorHAnsi" w:cstheme="majorHAnsi"/>
                <w:sz w:val="18"/>
                <w:szCs w:val="18"/>
              </w:rPr>
            </w:pPr>
            <w:r w:rsidRPr="00201497">
              <w:rPr>
                <w:rFonts w:asciiTheme="majorHAnsi" w:eastAsia="Proxima Nova" w:hAnsiTheme="majorHAnsi" w:cstheme="majorHAnsi"/>
                <w:sz w:val="18"/>
                <w:szCs w:val="18"/>
              </w:rPr>
              <w:t>$56,241,666</w:t>
            </w:r>
          </w:p>
        </w:tc>
      </w:tr>
      <w:tr w:rsidR="00A10957" w:rsidRPr="00201497" w14:paraId="702E23E2" w14:textId="77777777">
        <w:trPr>
          <w:trHeight w:val="440"/>
        </w:trPr>
        <w:tc>
          <w:tcPr>
            <w:tcW w:w="51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FF9E23B" w14:textId="77777777" w:rsidR="00A10957" w:rsidRPr="00201497" w:rsidRDefault="00F4083B">
            <w:pPr>
              <w:spacing w:after="60" w:line="256" w:lineRule="auto"/>
              <w:jc w:val="both"/>
              <w:rPr>
                <w:rFonts w:asciiTheme="majorHAnsi" w:eastAsia="Proxima Nova" w:hAnsiTheme="majorHAnsi" w:cstheme="majorHAnsi"/>
                <w:sz w:val="18"/>
                <w:szCs w:val="18"/>
              </w:rPr>
            </w:pPr>
            <w:r w:rsidRPr="00201497">
              <w:rPr>
                <w:rFonts w:asciiTheme="majorHAnsi" w:eastAsia="Proxima Nova" w:hAnsiTheme="majorHAnsi" w:cstheme="majorHAnsi"/>
                <w:sz w:val="18"/>
                <w:szCs w:val="18"/>
              </w:rPr>
              <w:t>Budget requirement 2020 – host community programme</w:t>
            </w:r>
          </w:p>
        </w:tc>
        <w:tc>
          <w:tcPr>
            <w:tcW w:w="4155" w:type="dxa"/>
            <w:tcBorders>
              <w:bottom w:val="single" w:sz="8" w:space="0" w:color="000000"/>
              <w:right w:val="single" w:sz="8" w:space="0" w:color="000000"/>
            </w:tcBorders>
            <w:tcMar>
              <w:top w:w="100" w:type="dxa"/>
              <w:left w:w="100" w:type="dxa"/>
              <w:bottom w:w="100" w:type="dxa"/>
              <w:right w:w="100" w:type="dxa"/>
            </w:tcMar>
          </w:tcPr>
          <w:p w14:paraId="2068D132" w14:textId="77777777" w:rsidR="00A10957" w:rsidRPr="00201497" w:rsidRDefault="00F4083B">
            <w:pPr>
              <w:spacing w:after="60" w:line="256" w:lineRule="auto"/>
              <w:jc w:val="both"/>
              <w:rPr>
                <w:rFonts w:asciiTheme="majorHAnsi" w:eastAsia="Proxima Nova" w:hAnsiTheme="majorHAnsi" w:cstheme="majorHAnsi"/>
                <w:sz w:val="18"/>
                <w:szCs w:val="18"/>
              </w:rPr>
            </w:pPr>
            <w:r w:rsidRPr="00201497">
              <w:rPr>
                <w:rFonts w:asciiTheme="majorHAnsi" w:eastAsia="Proxima Nova" w:hAnsiTheme="majorHAnsi" w:cstheme="majorHAnsi"/>
                <w:sz w:val="18"/>
                <w:szCs w:val="18"/>
              </w:rPr>
              <w:t>$5,200,403</w:t>
            </w:r>
          </w:p>
        </w:tc>
      </w:tr>
      <w:tr w:rsidR="00A10957" w:rsidRPr="00201497" w14:paraId="670DE2FF" w14:textId="77777777">
        <w:trPr>
          <w:trHeight w:val="480"/>
        </w:trPr>
        <w:tc>
          <w:tcPr>
            <w:tcW w:w="51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38233" w14:textId="77777777" w:rsidR="00A10957" w:rsidRPr="00201497" w:rsidRDefault="00F4083B">
            <w:pPr>
              <w:spacing w:after="60" w:line="256" w:lineRule="auto"/>
              <w:jc w:val="both"/>
              <w:rPr>
                <w:rFonts w:asciiTheme="majorHAnsi" w:eastAsia="Proxima Nova" w:hAnsiTheme="majorHAnsi" w:cstheme="majorHAnsi"/>
                <w:sz w:val="18"/>
                <w:szCs w:val="18"/>
              </w:rPr>
            </w:pPr>
            <w:r w:rsidRPr="00201497">
              <w:rPr>
                <w:rFonts w:asciiTheme="majorHAnsi" w:eastAsia="Proxima Nova" w:hAnsiTheme="majorHAnsi" w:cstheme="majorHAnsi"/>
                <w:sz w:val="18"/>
                <w:szCs w:val="18"/>
              </w:rPr>
              <w:t xml:space="preserve">Budget requirement 2020 – contingency for natural disaster </w:t>
            </w:r>
          </w:p>
        </w:tc>
        <w:tc>
          <w:tcPr>
            <w:tcW w:w="4155" w:type="dxa"/>
            <w:tcBorders>
              <w:bottom w:val="single" w:sz="8" w:space="0" w:color="000000"/>
              <w:right w:val="single" w:sz="8" w:space="0" w:color="000000"/>
            </w:tcBorders>
            <w:tcMar>
              <w:top w:w="100" w:type="dxa"/>
              <w:left w:w="100" w:type="dxa"/>
              <w:bottom w:w="100" w:type="dxa"/>
              <w:right w:w="100" w:type="dxa"/>
            </w:tcMar>
          </w:tcPr>
          <w:p w14:paraId="2E46A3FD" w14:textId="77777777" w:rsidR="00A10957" w:rsidRPr="00201497" w:rsidRDefault="00F4083B">
            <w:pPr>
              <w:spacing w:after="60" w:line="256" w:lineRule="auto"/>
              <w:jc w:val="both"/>
              <w:rPr>
                <w:rFonts w:asciiTheme="majorHAnsi" w:eastAsia="Proxima Nova" w:hAnsiTheme="majorHAnsi" w:cstheme="majorHAnsi"/>
                <w:sz w:val="18"/>
                <w:szCs w:val="18"/>
              </w:rPr>
            </w:pPr>
            <w:r w:rsidRPr="00201497">
              <w:rPr>
                <w:rFonts w:asciiTheme="majorHAnsi" w:eastAsia="Proxima Nova" w:hAnsiTheme="majorHAnsi" w:cstheme="majorHAnsi"/>
                <w:sz w:val="18"/>
                <w:szCs w:val="18"/>
              </w:rPr>
              <w:t>$1,556,827</w:t>
            </w:r>
          </w:p>
        </w:tc>
      </w:tr>
      <w:tr w:rsidR="00A10957" w:rsidRPr="00201497" w14:paraId="11513F6B" w14:textId="77777777">
        <w:trPr>
          <w:trHeight w:val="1060"/>
        </w:trPr>
        <w:tc>
          <w:tcPr>
            <w:tcW w:w="51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CA326C" w14:textId="77777777" w:rsidR="00A10957" w:rsidRPr="00201497" w:rsidRDefault="00F4083B">
            <w:pPr>
              <w:spacing w:after="60" w:line="256" w:lineRule="auto"/>
              <w:jc w:val="both"/>
              <w:rPr>
                <w:rFonts w:asciiTheme="majorHAnsi" w:eastAsia="Proxima Nova" w:hAnsiTheme="majorHAnsi" w:cstheme="majorHAnsi"/>
                <w:sz w:val="18"/>
                <w:szCs w:val="18"/>
              </w:rPr>
            </w:pPr>
            <w:r w:rsidRPr="00201497">
              <w:rPr>
                <w:rFonts w:asciiTheme="majorHAnsi" w:eastAsia="Proxima Nova" w:hAnsiTheme="majorHAnsi" w:cstheme="majorHAnsi"/>
                <w:sz w:val="18"/>
                <w:szCs w:val="18"/>
              </w:rPr>
              <w:t>TOTAL BUDGET REQUIREMENT</w:t>
            </w:r>
          </w:p>
        </w:tc>
        <w:tc>
          <w:tcPr>
            <w:tcW w:w="4155" w:type="dxa"/>
            <w:tcBorders>
              <w:bottom w:val="single" w:sz="8" w:space="0" w:color="000000"/>
              <w:right w:val="single" w:sz="8" w:space="0" w:color="000000"/>
            </w:tcBorders>
            <w:tcMar>
              <w:top w:w="100" w:type="dxa"/>
              <w:left w:w="100" w:type="dxa"/>
              <w:bottom w:w="100" w:type="dxa"/>
              <w:right w:w="100" w:type="dxa"/>
            </w:tcMar>
          </w:tcPr>
          <w:p w14:paraId="59FD0E48" w14:textId="77777777" w:rsidR="00A10957" w:rsidRPr="00201497" w:rsidRDefault="00F4083B">
            <w:pPr>
              <w:spacing w:after="60" w:line="256" w:lineRule="auto"/>
              <w:jc w:val="both"/>
              <w:rPr>
                <w:rFonts w:asciiTheme="majorHAnsi" w:eastAsia="Proxima Nova" w:hAnsiTheme="majorHAnsi" w:cstheme="majorHAnsi"/>
                <w:sz w:val="18"/>
                <w:szCs w:val="18"/>
              </w:rPr>
            </w:pPr>
            <w:r w:rsidRPr="00201497">
              <w:rPr>
                <w:rFonts w:asciiTheme="majorHAnsi" w:eastAsia="Proxima Nova" w:hAnsiTheme="majorHAnsi" w:cstheme="majorHAnsi"/>
                <w:sz w:val="18"/>
                <w:szCs w:val="18"/>
              </w:rPr>
              <w:t>$62,998,896</w:t>
            </w:r>
          </w:p>
          <w:p w14:paraId="5C19D112" w14:textId="3B9CECB5" w:rsidR="00A10957" w:rsidRPr="00201497" w:rsidRDefault="00F4083B">
            <w:pPr>
              <w:spacing w:after="60" w:line="256" w:lineRule="auto"/>
              <w:jc w:val="both"/>
              <w:rPr>
                <w:rFonts w:asciiTheme="majorHAnsi" w:eastAsia="Proxima Nova" w:hAnsiTheme="majorHAnsi" w:cstheme="majorHAnsi"/>
                <w:sz w:val="18"/>
                <w:szCs w:val="18"/>
              </w:rPr>
            </w:pPr>
            <w:r w:rsidRPr="00201497">
              <w:rPr>
                <w:rFonts w:asciiTheme="majorHAnsi" w:eastAsia="Proxima Nova" w:hAnsiTheme="majorHAnsi" w:cstheme="majorHAnsi"/>
                <w:sz w:val="18"/>
                <w:szCs w:val="18"/>
              </w:rPr>
              <w:t>+ $</w:t>
            </w:r>
            <w:r w:rsidR="006161C3">
              <w:rPr>
                <w:rFonts w:asciiTheme="majorHAnsi" w:eastAsia="Proxima Nova" w:hAnsiTheme="majorHAnsi" w:cstheme="majorHAnsi"/>
                <w:sz w:val="18"/>
                <w:szCs w:val="18"/>
              </w:rPr>
              <w:t>5,978,540</w:t>
            </w:r>
            <w:r w:rsidRPr="00201497">
              <w:rPr>
                <w:rFonts w:asciiTheme="majorHAnsi" w:eastAsia="Proxima Nova" w:hAnsiTheme="majorHAnsi" w:cstheme="majorHAnsi"/>
                <w:sz w:val="18"/>
                <w:szCs w:val="18"/>
              </w:rPr>
              <w:t xml:space="preserve"> (Myanmar Curriculum Pilot project)</w:t>
            </w:r>
          </w:p>
          <w:p w14:paraId="65769579" w14:textId="2DBF2002" w:rsidR="00A10957" w:rsidRPr="00201497" w:rsidRDefault="00F4083B">
            <w:pPr>
              <w:spacing w:after="60" w:line="256" w:lineRule="auto"/>
              <w:jc w:val="both"/>
              <w:rPr>
                <w:rFonts w:asciiTheme="majorHAnsi" w:eastAsia="Proxima Nova" w:hAnsiTheme="majorHAnsi" w:cstheme="majorHAnsi"/>
                <w:sz w:val="18"/>
                <w:szCs w:val="18"/>
              </w:rPr>
            </w:pPr>
            <w:r w:rsidRPr="00201497">
              <w:rPr>
                <w:rFonts w:asciiTheme="majorHAnsi" w:eastAsia="Proxima Nova" w:hAnsiTheme="majorHAnsi" w:cstheme="majorHAnsi"/>
                <w:sz w:val="18"/>
                <w:szCs w:val="18"/>
              </w:rPr>
              <w:t>= $</w:t>
            </w:r>
            <w:r w:rsidR="006161C3">
              <w:rPr>
                <w:rFonts w:asciiTheme="majorHAnsi" w:eastAsia="Proxima Nova" w:hAnsiTheme="majorHAnsi" w:cstheme="majorHAnsi"/>
                <w:sz w:val="18"/>
                <w:szCs w:val="18"/>
              </w:rPr>
              <w:t>68</w:t>
            </w:r>
            <w:r w:rsidRPr="00201497">
              <w:rPr>
                <w:rFonts w:asciiTheme="majorHAnsi" w:eastAsia="Proxima Nova" w:hAnsiTheme="majorHAnsi" w:cstheme="majorHAnsi"/>
                <w:sz w:val="18"/>
                <w:szCs w:val="18"/>
              </w:rPr>
              <w:t>,</w:t>
            </w:r>
            <w:r w:rsidR="006161C3">
              <w:rPr>
                <w:rFonts w:asciiTheme="majorHAnsi" w:eastAsia="Proxima Nova" w:hAnsiTheme="majorHAnsi" w:cstheme="majorHAnsi"/>
                <w:sz w:val="18"/>
                <w:szCs w:val="18"/>
              </w:rPr>
              <w:t>977</w:t>
            </w:r>
            <w:r w:rsidRPr="00201497">
              <w:rPr>
                <w:rFonts w:asciiTheme="majorHAnsi" w:eastAsia="Proxima Nova" w:hAnsiTheme="majorHAnsi" w:cstheme="majorHAnsi"/>
                <w:sz w:val="18"/>
                <w:szCs w:val="18"/>
              </w:rPr>
              <w:t>,</w:t>
            </w:r>
            <w:r w:rsidR="006161C3">
              <w:rPr>
                <w:rFonts w:asciiTheme="majorHAnsi" w:eastAsia="Proxima Nova" w:hAnsiTheme="majorHAnsi" w:cstheme="majorHAnsi"/>
                <w:sz w:val="18"/>
                <w:szCs w:val="18"/>
              </w:rPr>
              <w:t>43</w:t>
            </w:r>
            <w:r w:rsidRPr="00201497">
              <w:rPr>
                <w:rFonts w:asciiTheme="majorHAnsi" w:eastAsia="Proxima Nova" w:hAnsiTheme="majorHAnsi" w:cstheme="majorHAnsi"/>
                <w:sz w:val="18"/>
                <w:szCs w:val="18"/>
              </w:rPr>
              <w:t>6</w:t>
            </w:r>
          </w:p>
        </w:tc>
      </w:tr>
      <w:tr w:rsidR="00A10957" w:rsidRPr="00201497" w14:paraId="6C149687" w14:textId="77777777" w:rsidTr="00DB08A1">
        <w:trPr>
          <w:trHeight w:val="2437"/>
        </w:trPr>
        <w:tc>
          <w:tcPr>
            <w:tcW w:w="51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4FA9408" w14:textId="77777777" w:rsidR="00A10957" w:rsidRPr="00201497" w:rsidRDefault="00F4083B">
            <w:pPr>
              <w:spacing w:after="60" w:line="256" w:lineRule="auto"/>
              <w:jc w:val="both"/>
              <w:rPr>
                <w:rFonts w:asciiTheme="majorHAnsi" w:eastAsia="Proxima Nova" w:hAnsiTheme="majorHAnsi" w:cstheme="majorHAnsi"/>
                <w:sz w:val="18"/>
                <w:szCs w:val="18"/>
              </w:rPr>
            </w:pPr>
            <w:r w:rsidRPr="00201497">
              <w:rPr>
                <w:rFonts w:asciiTheme="majorHAnsi" w:eastAsia="Proxima Nova" w:hAnsiTheme="majorHAnsi" w:cstheme="majorHAnsi"/>
                <w:sz w:val="18"/>
                <w:szCs w:val="18"/>
              </w:rPr>
              <w:lastRenderedPageBreak/>
              <w:t xml:space="preserve">Explanation of budget requirements: how did you reach this breakdown and what considerations have been </w:t>
            </w:r>
            <w:proofErr w:type="gramStart"/>
            <w:r w:rsidRPr="00201497">
              <w:rPr>
                <w:rFonts w:asciiTheme="majorHAnsi" w:eastAsia="Proxima Nova" w:hAnsiTheme="majorHAnsi" w:cstheme="majorHAnsi"/>
                <w:sz w:val="18"/>
                <w:szCs w:val="18"/>
              </w:rPr>
              <w:t>taken into account</w:t>
            </w:r>
            <w:proofErr w:type="gramEnd"/>
            <w:r w:rsidRPr="00201497">
              <w:rPr>
                <w:rFonts w:asciiTheme="majorHAnsi" w:eastAsia="Proxima Nova" w:hAnsiTheme="majorHAnsi" w:cstheme="majorHAnsi"/>
                <w:sz w:val="18"/>
                <w:szCs w:val="18"/>
              </w:rPr>
              <w:t>? How did you ensure cost effectiveness and feasibility?</w:t>
            </w:r>
          </w:p>
          <w:p w14:paraId="4C0DDE88" w14:textId="77777777" w:rsidR="00A10957" w:rsidRPr="00201497" w:rsidRDefault="00F4083B">
            <w:pPr>
              <w:spacing w:after="60" w:line="256" w:lineRule="auto"/>
              <w:jc w:val="both"/>
              <w:rPr>
                <w:rFonts w:asciiTheme="majorHAnsi" w:eastAsia="Proxima Nova" w:hAnsiTheme="majorHAnsi" w:cstheme="majorHAnsi"/>
                <w:sz w:val="18"/>
                <w:szCs w:val="18"/>
              </w:rPr>
            </w:pPr>
            <w:r w:rsidRPr="00201497">
              <w:rPr>
                <w:rFonts w:asciiTheme="majorHAnsi" w:eastAsia="Proxima Nova" w:hAnsiTheme="majorHAnsi" w:cstheme="majorHAnsi"/>
                <w:sz w:val="18"/>
                <w:szCs w:val="18"/>
              </w:rPr>
              <w:t>Note that the total requirement must match the project portfolio.</w:t>
            </w:r>
          </w:p>
        </w:tc>
        <w:tc>
          <w:tcPr>
            <w:tcW w:w="4155" w:type="dxa"/>
            <w:tcBorders>
              <w:bottom w:val="single" w:sz="8" w:space="0" w:color="000000"/>
              <w:right w:val="single" w:sz="8" w:space="0" w:color="000000"/>
            </w:tcBorders>
            <w:tcMar>
              <w:top w:w="100" w:type="dxa"/>
              <w:left w:w="100" w:type="dxa"/>
              <w:bottom w:w="100" w:type="dxa"/>
              <w:right w:w="100" w:type="dxa"/>
            </w:tcMar>
          </w:tcPr>
          <w:p w14:paraId="4B1EE956" w14:textId="77777777" w:rsidR="00A10957" w:rsidRPr="00201497" w:rsidRDefault="00F4083B">
            <w:pPr>
              <w:spacing w:after="60" w:line="256" w:lineRule="auto"/>
              <w:jc w:val="both"/>
              <w:rPr>
                <w:rFonts w:asciiTheme="majorHAnsi" w:eastAsia="Proxima Nova" w:hAnsiTheme="majorHAnsi" w:cstheme="majorHAnsi"/>
                <w:sz w:val="18"/>
                <w:szCs w:val="18"/>
              </w:rPr>
            </w:pPr>
            <w:r w:rsidRPr="00201497">
              <w:rPr>
                <w:rFonts w:asciiTheme="majorHAnsi" w:eastAsia="Proxima Nova" w:hAnsiTheme="majorHAnsi" w:cstheme="majorHAnsi"/>
                <w:sz w:val="18"/>
                <w:szCs w:val="18"/>
              </w:rPr>
              <w:t>The Education Sector has developed an accurate Cost per beneficiary standard, for both Rohingya and Host community, based on the combination of different criteria and activities (21 different categories against 3 in 2019). Each project has been scrutinized through the lens of these standards.</w:t>
            </w:r>
          </w:p>
          <w:p w14:paraId="7BEA7197" w14:textId="055E5785" w:rsidR="00A10957" w:rsidRPr="00201497" w:rsidRDefault="00F4083B">
            <w:pPr>
              <w:spacing w:after="60" w:line="256" w:lineRule="auto"/>
              <w:jc w:val="both"/>
              <w:rPr>
                <w:rFonts w:asciiTheme="majorHAnsi" w:eastAsia="Proxima Nova" w:hAnsiTheme="majorHAnsi" w:cstheme="majorHAnsi"/>
                <w:sz w:val="18"/>
                <w:szCs w:val="18"/>
              </w:rPr>
            </w:pPr>
            <w:r w:rsidRPr="00201497">
              <w:rPr>
                <w:rFonts w:asciiTheme="majorHAnsi" w:eastAsia="Proxima Nova" w:hAnsiTheme="majorHAnsi" w:cstheme="majorHAnsi"/>
                <w:sz w:val="18"/>
                <w:szCs w:val="18"/>
              </w:rPr>
              <w:t>The Education Sector Strategic Advisory Group / Peer Review Team has also unanimously recommended the initial project portfolio to be increased of $</w:t>
            </w:r>
            <w:r w:rsidR="001430D4">
              <w:rPr>
                <w:rFonts w:asciiTheme="majorHAnsi" w:eastAsia="Proxima Nova" w:hAnsiTheme="majorHAnsi" w:cstheme="majorHAnsi"/>
                <w:sz w:val="18"/>
                <w:szCs w:val="18"/>
              </w:rPr>
              <w:t>5,978,540</w:t>
            </w:r>
            <w:r w:rsidRPr="00201497">
              <w:rPr>
                <w:rFonts w:asciiTheme="majorHAnsi" w:eastAsia="Proxima Nova" w:hAnsiTheme="majorHAnsi" w:cstheme="majorHAnsi"/>
                <w:sz w:val="18"/>
                <w:szCs w:val="18"/>
              </w:rPr>
              <w:t xml:space="preserve"> to develop the Myanmar Curriculum Pilot Project.</w:t>
            </w:r>
          </w:p>
        </w:tc>
      </w:tr>
    </w:tbl>
    <w:p w14:paraId="6CDFAFCD" w14:textId="77777777" w:rsidR="00A10957" w:rsidRPr="00D665EE" w:rsidRDefault="00A10957">
      <w:pPr>
        <w:rPr>
          <w:rFonts w:asciiTheme="majorHAnsi" w:eastAsia="Proxima Nova" w:hAnsiTheme="majorHAnsi" w:cstheme="majorHAnsi"/>
          <w:highlight w:val="red"/>
        </w:rPr>
      </w:pPr>
    </w:p>
    <w:p w14:paraId="5C6847ED" w14:textId="77777777" w:rsidR="00A10957" w:rsidRPr="00D665EE" w:rsidRDefault="00A10957" w:rsidP="00FD633D">
      <w:pPr>
        <w:rPr>
          <w:rFonts w:asciiTheme="majorHAnsi" w:hAnsiTheme="majorHAnsi" w:cstheme="majorHAnsi"/>
        </w:rPr>
      </w:pPr>
    </w:p>
    <w:p w14:paraId="279C4410" w14:textId="77777777" w:rsidR="00A10957" w:rsidRPr="00D665EE" w:rsidRDefault="00A10957">
      <w:pPr>
        <w:spacing w:after="0" w:line="240" w:lineRule="auto"/>
        <w:jc w:val="both"/>
        <w:rPr>
          <w:rFonts w:asciiTheme="majorHAnsi" w:eastAsia="Proxima Nova" w:hAnsiTheme="majorHAnsi" w:cstheme="majorHAnsi"/>
          <w:b/>
          <w:color w:val="FF0000"/>
          <w:sz w:val="28"/>
          <w:szCs w:val="28"/>
        </w:rPr>
      </w:pPr>
      <w:bookmarkStart w:id="8" w:name="_2bn6wsx" w:colFirst="0" w:colLast="0"/>
      <w:bookmarkEnd w:id="8"/>
    </w:p>
    <w:p w14:paraId="30EBE20B" w14:textId="77777777" w:rsidR="00A10957" w:rsidRPr="00D665EE" w:rsidRDefault="00A10957">
      <w:pPr>
        <w:spacing w:after="0"/>
        <w:jc w:val="both"/>
        <w:rPr>
          <w:rFonts w:asciiTheme="majorHAnsi" w:eastAsia="Proxima Nova" w:hAnsiTheme="majorHAnsi" w:cstheme="majorHAnsi"/>
          <w:b/>
          <w:color w:val="0070C0"/>
          <w:sz w:val="48"/>
          <w:szCs w:val="48"/>
        </w:rPr>
      </w:pPr>
    </w:p>
    <w:p w14:paraId="644B9DBB" w14:textId="77777777" w:rsidR="00A10957" w:rsidRPr="00D665EE" w:rsidRDefault="00A10957">
      <w:pPr>
        <w:rPr>
          <w:rFonts w:asciiTheme="majorHAnsi" w:hAnsiTheme="majorHAnsi" w:cstheme="majorHAnsi"/>
        </w:rPr>
      </w:pPr>
      <w:bookmarkStart w:id="9" w:name="_xvir7l" w:colFirst="0" w:colLast="0"/>
      <w:bookmarkEnd w:id="9"/>
    </w:p>
    <w:p w14:paraId="43EEF1B0" w14:textId="77777777" w:rsidR="00A10957" w:rsidRPr="00D665EE" w:rsidRDefault="00A10957">
      <w:pPr>
        <w:jc w:val="both"/>
        <w:rPr>
          <w:rFonts w:asciiTheme="majorHAnsi" w:eastAsia="Proxima Nova" w:hAnsiTheme="majorHAnsi" w:cstheme="majorHAnsi"/>
        </w:rPr>
      </w:pPr>
    </w:p>
    <w:sectPr w:rsidR="00A10957" w:rsidRPr="00D665EE">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9F057B" w14:textId="77777777" w:rsidR="00D63AC1" w:rsidRDefault="00D63AC1">
      <w:pPr>
        <w:spacing w:after="0" w:line="240" w:lineRule="auto"/>
      </w:pPr>
      <w:r>
        <w:separator/>
      </w:r>
    </w:p>
  </w:endnote>
  <w:endnote w:type="continuationSeparator" w:id="0">
    <w:p w14:paraId="671E144B" w14:textId="77777777" w:rsidR="00D63AC1" w:rsidRDefault="00D63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31042" w14:textId="77777777" w:rsidR="00A10957" w:rsidRDefault="00F4083B">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EB21D6">
      <w:rPr>
        <w:noProof/>
        <w:color w:val="000000"/>
      </w:rPr>
      <w:t>1</w:t>
    </w:r>
    <w:r>
      <w:rPr>
        <w:color w:val="000000"/>
      </w:rPr>
      <w:fldChar w:fldCharType="end"/>
    </w:r>
  </w:p>
  <w:p w14:paraId="00A35AA5" w14:textId="77777777" w:rsidR="00A10957" w:rsidRDefault="00A1095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0EC02" w14:textId="77777777" w:rsidR="00D63AC1" w:rsidRDefault="00D63AC1">
      <w:pPr>
        <w:spacing w:after="0" w:line="240" w:lineRule="auto"/>
      </w:pPr>
      <w:r>
        <w:separator/>
      </w:r>
    </w:p>
  </w:footnote>
  <w:footnote w:type="continuationSeparator" w:id="0">
    <w:p w14:paraId="62576D54" w14:textId="77777777" w:rsidR="00D63AC1" w:rsidRDefault="00D63AC1">
      <w:pPr>
        <w:spacing w:after="0" w:line="240" w:lineRule="auto"/>
      </w:pPr>
      <w:r>
        <w:continuationSeparator/>
      </w:r>
    </w:p>
  </w:footnote>
  <w:footnote w:id="1">
    <w:p w14:paraId="019F5835" w14:textId="5A7C56C1" w:rsidR="008774CA" w:rsidRPr="008774CA" w:rsidRDefault="008774CA" w:rsidP="001430D4">
      <w:pPr>
        <w:pStyle w:val="FootnoteText"/>
        <w:jc w:val="both"/>
        <w:rPr>
          <w:sz w:val="16"/>
          <w:szCs w:val="16"/>
        </w:rPr>
      </w:pPr>
      <w:r w:rsidRPr="008774CA">
        <w:rPr>
          <w:rStyle w:val="FootnoteReference"/>
          <w:sz w:val="16"/>
          <w:szCs w:val="16"/>
        </w:rPr>
        <w:footnoteRef/>
      </w:r>
      <w:r w:rsidRPr="008774CA">
        <w:rPr>
          <w:sz w:val="16"/>
          <w:szCs w:val="16"/>
        </w:rPr>
        <w:t xml:space="preserve"> </w:t>
      </w:r>
      <w:r w:rsidRPr="008774CA">
        <w:rPr>
          <w:rFonts w:asciiTheme="majorHAnsi" w:hAnsiTheme="majorHAnsi" w:cstheme="majorHAnsi"/>
          <w:sz w:val="16"/>
          <w:szCs w:val="16"/>
        </w:rPr>
        <w:t>Based on the UNHCR Population Planning shared on 10/11/2019 (overall population) and 10/11/2019 (Edu Sector age range population).</w:t>
      </w:r>
    </w:p>
  </w:footnote>
  <w:footnote w:id="2">
    <w:p w14:paraId="64802B87" w14:textId="6CCEE20D" w:rsidR="008774CA" w:rsidRPr="008774CA" w:rsidRDefault="008774CA" w:rsidP="001430D4">
      <w:pPr>
        <w:pStyle w:val="FootnoteText"/>
        <w:jc w:val="both"/>
        <w:rPr>
          <w:sz w:val="16"/>
          <w:szCs w:val="16"/>
        </w:rPr>
      </w:pPr>
      <w:r w:rsidRPr="008774CA">
        <w:rPr>
          <w:rStyle w:val="FootnoteReference"/>
          <w:sz w:val="16"/>
          <w:szCs w:val="16"/>
        </w:rPr>
        <w:footnoteRef/>
      </w:r>
      <w:r w:rsidRPr="008774CA">
        <w:rPr>
          <w:sz w:val="16"/>
          <w:szCs w:val="16"/>
        </w:rPr>
        <w:t xml:space="preserve"> </w:t>
      </w:r>
      <w:r w:rsidRPr="008774CA">
        <w:rPr>
          <w:rFonts w:asciiTheme="majorHAnsi" w:hAnsiTheme="majorHAnsi" w:cstheme="majorHAnsi"/>
          <w:sz w:val="16"/>
          <w:szCs w:val="16"/>
        </w:rPr>
        <w:t>Based on the UNHCR Population Planning shared on 15/10/2019 (overall population) + Data provided by DEO and DPEO + EMIS</w:t>
      </w:r>
    </w:p>
  </w:footnote>
  <w:footnote w:id="3">
    <w:p w14:paraId="6C6F5FE4" w14:textId="209DD283" w:rsidR="008774CA" w:rsidRPr="008774CA" w:rsidRDefault="008774CA" w:rsidP="001430D4">
      <w:pPr>
        <w:spacing w:after="0" w:line="256" w:lineRule="auto"/>
        <w:jc w:val="both"/>
        <w:rPr>
          <w:rFonts w:asciiTheme="majorHAnsi" w:hAnsiTheme="majorHAnsi" w:cstheme="majorHAnsi"/>
          <w:sz w:val="16"/>
          <w:szCs w:val="16"/>
        </w:rPr>
      </w:pPr>
      <w:r w:rsidRPr="008774CA">
        <w:rPr>
          <w:rStyle w:val="FootnoteReference"/>
          <w:sz w:val="16"/>
          <w:szCs w:val="16"/>
        </w:rPr>
        <w:footnoteRef/>
      </w:r>
      <w:r w:rsidRPr="008774CA">
        <w:rPr>
          <w:sz w:val="16"/>
          <w:szCs w:val="16"/>
        </w:rPr>
        <w:t xml:space="preserve"> </w:t>
      </w:r>
      <w:r w:rsidRPr="008774CA">
        <w:rPr>
          <w:rFonts w:asciiTheme="majorHAnsi" w:hAnsiTheme="majorHAnsi" w:cstheme="majorHAnsi"/>
          <w:sz w:val="16"/>
          <w:szCs w:val="16"/>
        </w:rPr>
        <w:t>100% of the Rohingya children aged 3-14 years old must have access to education. 70% of the 15-18 (+10% compared to 2019) and 10% of the 19-24 (+3% compared to 2019).</w:t>
      </w:r>
    </w:p>
  </w:footnote>
  <w:footnote w:id="4">
    <w:p w14:paraId="3FEB5FD4" w14:textId="100A08C1" w:rsidR="00E6269A" w:rsidRPr="00E6269A" w:rsidRDefault="00E6269A" w:rsidP="001430D4">
      <w:pPr>
        <w:pStyle w:val="FootnoteText"/>
        <w:jc w:val="both"/>
        <w:rPr>
          <w:sz w:val="16"/>
          <w:szCs w:val="16"/>
        </w:rPr>
      </w:pPr>
      <w:r w:rsidRPr="00E6269A">
        <w:rPr>
          <w:rStyle w:val="FootnoteReference"/>
          <w:sz w:val="16"/>
          <w:szCs w:val="16"/>
        </w:rPr>
        <w:footnoteRef/>
      </w:r>
      <w:r w:rsidRPr="00E6269A">
        <w:rPr>
          <w:sz w:val="16"/>
          <w:szCs w:val="16"/>
        </w:rPr>
        <w:t xml:space="preserve"> </w:t>
      </w:r>
      <w:r w:rsidRPr="00E6269A">
        <w:rPr>
          <w:rFonts w:asciiTheme="majorHAnsi" w:eastAsia="Proxima Nova" w:hAnsiTheme="majorHAnsi" w:cstheme="majorHAnsi"/>
          <w:sz w:val="16"/>
          <w:szCs w:val="16"/>
        </w:rPr>
        <w:t>In addition to the activities outlined in the Joint Response Plan, the Education Sector will closely work with other Education actors, such as the World Bank and the Islamic Development Bank.</w:t>
      </w:r>
    </w:p>
  </w:footnote>
  <w:footnote w:id="5">
    <w:p w14:paraId="73E8E130" w14:textId="036307B5" w:rsidR="00D97402" w:rsidRPr="008E5027" w:rsidRDefault="00D97402" w:rsidP="001430D4">
      <w:pPr>
        <w:pStyle w:val="FootnoteText"/>
        <w:jc w:val="both"/>
        <w:rPr>
          <w:rFonts w:asciiTheme="majorHAnsi" w:eastAsia="Proxima Nova" w:hAnsiTheme="majorHAnsi" w:cstheme="majorHAnsi"/>
          <w:sz w:val="16"/>
          <w:szCs w:val="16"/>
        </w:rPr>
      </w:pPr>
      <w:r w:rsidRPr="00D97402">
        <w:rPr>
          <w:rStyle w:val="FootnoteReference"/>
          <w:sz w:val="16"/>
          <w:szCs w:val="16"/>
        </w:rPr>
        <w:footnoteRef/>
      </w:r>
      <w:r w:rsidRPr="00D97402">
        <w:rPr>
          <w:sz w:val="16"/>
          <w:szCs w:val="16"/>
        </w:rPr>
        <w:t xml:space="preserve"> </w:t>
      </w:r>
      <w:r w:rsidRPr="00D97402">
        <w:rPr>
          <w:rFonts w:asciiTheme="majorHAnsi" w:eastAsia="Proxima Nova" w:hAnsiTheme="majorHAnsi" w:cstheme="majorHAnsi"/>
          <w:sz w:val="16"/>
          <w:szCs w:val="16"/>
        </w:rPr>
        <w:t>Starting from the 2</w:t>
      </w:r>
      <w:r w:rsidRPr="00D97402">
        <w:rPr>
          <w:rFonts w:asciiTheme="majorHAnsi" w:eastAsia="Proxima Nova" w:hAnsiTheme="majorHAnsi" w:cstheme="majorHAnsi"/>
          <w:sz w:val="16"/>
          <w:szCs w:val="16"/>
          <w:vertAlign w:val="superscript"/>
        </w:rPr>
        <w:t>nd</w:t>
      </w:r>
      <w:r w:rsidRPr="00D97402">
        <w:rPr>
          <w:rFonts w:asciiTheme="majorHAnsi" w:eastAsia="Proxima Nova" w:hAnsiTheme="majorHAnsi" w:cstheme="majorHAnsi"/>
          <w:sz w:val="16"/>
          <w:szCs w:val="16"/>
        </w:rPr>
        <w:t xml:space="preserve"> quarter of 2020, the complete middle school curriculum (Grades 6 to 9) will gradually be introduced on a pilot basis for 10,000 adolescents.</w:t>
      </w:r>
      <w:r w:rsidR="008E5027">
        <w:rPr>
          <w:rFonts w:asciiTheme="majorHAnsi" w:eastAsia="Proxima Nova" w:hAnsiTheme="majorHAnsi" w:cstheme="majorHAnsi"/>
          <w:sz w:val="16"/>
          <w:szCs w:val="16"/>
        </w:rPr>
        <w:t xml:space="preserve"> </w:t>
      </w:r>
      <w:r w:rsidR="008E5027" w:rsidRPr="008E5027">
        <w:rPr>
          <w:rFonts w:asciiTheme="majorHAnsi" w:eastAsia="Proxima Nova" w:hAnsiTheme="majorHAnsi" w:cstheme="majorHAnsi"/>
          <w:sz w:val="16"/>
          <w:szCs w:val="16"/>
        </w:rPr>
        <w:t>This will be further expanded to introduce Grade 10 and Grade 1 (the first year of primary) in 2021.</w:t>
      </w:r>
    </w:p>
  </w:footnote>
  <w:footnote w:id="6">
    <w:p w14:paraId="2BB952DB" w14:textId="553E880A" w:rsidR="002F4705" w:rsidRPr="002F4705" w:rsidRDefault="002F4705" w:rsidP="001430D4">
      <w:pPr>
        <w:pStyle w:val="FootnoteText"/>
        <w:jc w:val="both"/>
        <w:rPr>
          <w:sz w:val="16"/>
          <w:szCs w:val="16"/>
        </w:rPr>
      </w:pPr>
      <w:r w:rsidRPr="002F4705">
        <w:rPr>
          <w:rStyle w:val="FootnoteReference"/>
          <w:sz w:val="16"/>
          <w:szCs w:val="16"/>
        </w:rPr>
        <w:footnoteRef/>
      </w:r>
      <w:r w:rsidRPr="002F4705">
        <w:rPr>
          <w:sz w:val="16"/>
          <w:szCs w:val="16"/>
        </w:rPr>
        <w:t xml:space="preserve"> </w:t>
      </w:r>
      <w:r w:rsidRPr="002F4705">
        <w:rPr>
          <w:rFonts w:asciiTheme="majorHAnsi" w:eastAsia="Proxima Nova" w:hAnsiTheme="majorHAnsi" w:cstheme="majorHAnsi"/>
          <w:sz w:val="16"/>
          <w:szCs w:val="16"/>
        </w:rPr>
        <w:t>Using the English version of the Myanmar national curriculum could make the transition from the current practice of LCFA (where English is used as the medium of instruction) easier.  It would also allow the continuation of the services provided by the host community teachers.</w:t>
      </w:r>
    </w:p>
  </w:footnote>
  <w:footnote w:id="7">
    <w:p w14:paraId="459419EA" w14:textId="24BE21AC" w:rsidR="00B5381E" w:rsidRPr="00B5381E" w:rsidRDefault="00B5381E" w:rsidP="001430D4">
      <w:pPr>
        <w:pStyle w:val="FootnoteText"/>
        <w:jc w:val="both"/>
        <w:rPr>
          <w:sz w:val="16"/>
          <w:szCs w:val="16"/>
        </w:rPr>
      </w:pPr>
      <w:r w:rsidRPr="00B5381E">
        <w:rPr>
          <w:rStyle w:val="FootnoteReference"/>
          <w:sz w:val="16"/>
          <w:szCs w:val="16"/>
        </w:rPr>
        <w:footnoteRef/>
      </w:r>
      <w:r w:rsidRPr="00B5381E">
        <w:rPr>
          <w:sz w:val="16"/>
          <w:szCs w:val="16"/>
        </w:rPr>
        <w:t xml:space="preserve"> From 3% to 11% of enrolment within 4 months.</w:t>
      </w:r>
    </w:p>
  </w:footnote>
  <w:footnote w:id="8">
    <w:p w14:paraId="6C21C5A2" w14:textId="77777777" w:rsidR="006B533F" w:rsidRPr="002F4705" w:rsidRDefault="006B533F" w:rsidP="001430D4">
      <w:pPr>
        <w:pStyle w:val="FootnoteText"/>
        <w:jc w:val="both"/>
        <w:rPr>
          <w:sz w:val="16"/>
          <w:szCs w:val="16"/>
        </w:rPr>
      </w:pPr>
      <w:r w:rsidRPr="002F4705">
        <w:rPr>
          <w:rStyle w:val="FootnoteReference"/>
          <w:sz w:val="16"/>
          <w:szCs w:val="16"/>
        </w:rPr>
        <w:footnoteRef/>
      </w:r>
      <w:r w:rsidRPr="002F4705">
        <w:rPr>
          <w:sz w:val="16"/>
          <w:szCs w:val="16"/>
        </w:rPr>
        <w:t xml:space="preserve"> </w:t>
      </w:r>
      <w:r w:rsidRPr="002F4705">
        <w:rPr>
          <w:rFonts w:asciiTheme="majorHAnsi" w:eastAsia="Proxima Nova" w:hAnsiTheme="majorHAnsi" w:cstheme="majorHAnsi"/>
          <w:sz w:val="16"/>
          <w:szCs w:val="16"/>
        </w:rPr>
        <w:t>Community-based (home-based, religious schools, etc.) and Cross-sectoral shared (Girls Friendly Spaces, Child Friendly spaces, Adolescents clubs, etc.) learning facilities currently count for 40% of the total of the learning facilities. They provide access to 22% of the children enrolled in the camps.</w:t>
      </w:r>
    </w:p>
  </w:footnote>
  <w:footnote w:id="9">
    <w:p w14:paraId="0124D07E" w14:textId="08614387" w:rsidR="00A10957" w:rsidRPr="00B5381E" w:rsidRDefault="00F4083B" w:rsidP="001430D4">
      <w:pPr>
        <w:spacing w:after="0" w:line="240" w:lineRule="auto"/>
        <w:jc w:val="both"/>
        <w:rPr>
          <w:rFonts w:asciiTheme="majorHAnsi" w:eastAsia="Arial" w:hAnsiTheme="majorHAnsi" w:cstheme="majorHAnsi"/>
          <w:sz w:val="16"/>
          <w:szCs w:val="16"/>
        </w:rPr>
      </w:pPr>
      <w:r w:rsidRPr="00B5381E">
        <w:rPr>
          <w:rFonts w:asciiTheme="majorHAnsi" w:hAnsiTheme="majorHAnsi" w:cstheme="majorHAnsi"/>
          <w:sz w:val="16"/>
          <w:szCs w:val="16"/>
          <w:vertAlign w:val="superscript"/>
        </w:rPr>
        <w:footnoteRef/>
      </w:r>
      <w:r w:rsidRPr="00B5381E">
        <w:rPr>
          <w:rFonts w:asciiTheme="majorHAnsi" w:eastAsia="Arial" w:hAnsiTheme="majorHAnsi" w:cstheme="majorHAnsi"/>
          <w:sz w:val="16"/>
          <w:szCs w:val="16"/>
        </w:rPr>
        <w:t xml:space="preserve"> Community-based schools, established and implemented by the populations when there </w:t>
      </w:r>
      <w:proofErr w:type="gramStart"/>
      <w:r w:rsidRPr="00B5381E">
        <w:rPr>
          <w:rFonts w:asciiTheme="majorHAnsi" w:eastAsia="Arial" w:hAnsiTheme="majorHAnsi" w:cstheme="majorHAnsi"/>
          <w:sz w:val="16"/>
          <w:szCs w:val="16"/>
        </w:rPr>
        <w:t>is</w:t>
      </w:r>
      <w:proofErr w:type="gramEnd"/>
      <w:r w:rsidRPr="00B5381E">
        <w:rPr>
          <w:rFonts w:asciiTheme="majorHAnsi" w:eastAsia="Arial" w:hAnsiTheme="majorHAnsi" w:cstheme="majorHAnsi"/>
          <w:sz w:val="16"/>
          <w:szCs w:val="16"/>
        </w:rPr>
        <w:t xml:space="preserve"> no government schools, are led by para-teachers. Humanitarian community also </w:t>
      </w:r>
      <w:r w:rsidR="00B5381E" w:rsidRPr="00B5381E">
        <w:rPr>
          <w:rFonts w:asciiTheme="majorHAnsi" w:eastAsia="Arial" w:hAnsiTheme="majorHAnsi" w:cstheme="majorHAnsi"/>
          <w:sz w:val="16"/>
          <w:szCs w:val="16"/>
        </w:rPr>
        <w:t>establishes learning</w:t>
      </w:r>
      <w:r w:rsidRPr="00B5381E">
        <w:rPr>
          <w:rFonts w:asciiTheme="majorHAnsi" w:eastAsia="Arial" w:hAnsiTheme="majorHAnsi" w:cstheme="majorHAnsi"/>
          <w:sz w:val="16"/>
          <w:szCs w:val="16"/>
        </w:rPr>
        <w:t xml:space="preserve"> centres in host community to mitigate the absence of government schools.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16477"/>
    <w:multiLevelType w:val="multilevel"/>
    <w:tmpl w:val="D6B223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DF700E6"/>
    <w:multiLevelType w:val="multilevel"/>
    <w:tmpl w:val="3B28CD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182E84"/>
    <w:multiLevelType w:val="multilevel"/>
    <w:tmpl w:val="85C07A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A41EB9"/>
    <w:multiLevelType w:val="multilevel"/>
    <w:tmpl w:val="ACA828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0BA3E18"/>
    <w:multiLevelType w:val="multilevel"/>
    <w:tmpl w:val="DF963D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25600AC"/>
    <w:multiLevelType w:val="multilevel"/>
    <w:tmpl w:val="D298CF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47255CB"/>
    <w:multiLevelType w:val="multilevel"/>
    <w:tmpl w:val="477A71C2"/>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57F30AD"/>
    <w:multiLevelType w:val="multilevel"/>
    <w:tmpl w:val="2AFEDC8E"/>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84067F8"/>
    <w:multiLevelType w:val="multilevel"/>
    <w:tmpl w:val="B6C2E7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C074571"/>
    <w:multiLevelType w:val="multilevel"/>
    <w:tmpl w:val="7CEE1E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E826689"/>
    <w:multiLevelType w:val="multilevel"/>
    <w:tmpl w:val="C72437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EE83C01"/>
    <w:multiLevelType w:val="multilevel"/>
    <w:tmpl w:val="62942F5C"/>
    <w:lvl w:ilvl="0">
      <w:start w:val="1"/>
      <w:numFmt w:val="bullet"/>
      <w:lvlText w:val="●"/>
      <w:lvlJc w:val="left"/>
      <w:pPr>
        <w:ind w:left="720" w:hanging="360"/>
      </w:pPr>
      <w:rPr>
        <w:rFonts w:ascii="Noto Sans Symbols" w:eastAsia="Noto Sans Symbols" w:hAnsi="Noto Sans Symbols" w:cs="Noto Sans Symbols"/>
        <w:color w:val="00000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02A54CF"/>
    <w:multiLevelType w:val="multilevel"/>
    <w:tmpl w:val="8B9207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3E73796"/>
    <w:multiLevelType w:val="multilevel"/>
    <w:tmpl w:val="8BC0AE2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4DB3616"/>
    <w:multiLevelType w:val="multilevel"/>
    <w:tmpl w:val="665A18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A57131E"/>
    <w:multiLevelType w:val="multilevel"/>
    <w:tmpl w:val="49E6824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6" w15:restartNumberingAfterBreak="0">
    <w:nsid w:val="5E66279B"/>
    <w:multiLevelType w:val="multilevel"/>
    <w:tmpl w:val="4AD688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4D879F9"/>
    <w:multiLevelType w:val="multilevel"/>
    <w:tmpl w:val="272E9B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8346C3C"/>
    <w:multiLevelType w:val="multilevel"/>
    <w:tmpl w:val="211ECD28"/>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185518D"/>
    <w:multiLevelType w:val="multilevel"/>
    <w:tmpl w:val="8ECA476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25A2DC3"/>
    <w:multiLevelType w:val="multilevel"/>
    <w:tmpl w:val="87E60A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C104AF9"/>
    <w:multiLevelType w:val="multilevel"/>
    <w:tmpl w:val="11A2CFD8"/>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6"/>
  </w:num>
  <w:num w:numId="2">
    <w:abstractNumId w:val="12"/>
  </w:num>
  <w:num w:numId="3">
    <w:abstractNumId w:val="5"/>
  </w:num>
  <w:num w:numId="4">
    <w:abstractNumId w:val="11"/>
  </w:num>
  <w:num w:numId="5">
    <w:abstractNumId w:val="3"/>
  </w:num>
  <w:num w:numId="6">
    <w:abstractNumId w:val="16"/>
  </w:num>
  <w:num w:numId="7">
    <w:abstractNumId w:val="7"/>
  </w:num>
  <w:num w:numId="8">
    <w:abstractNumId w:val="15"/>
  </w:num>
  <w:num w:numId="9">
    <w:abstractNumId w:val="13"/>
  </w:num>
  <w:num w:numId="10">
    <w:abstractNumId w:val="19"/>
  </w:num>
  <w:num w:numId="11">
    <w:abstractNumId w:val="18"/>
  </w:num>
  <w:num w:numId="12">
    <w:abstractNumId w:val="1"/>
  </w:num>
  <w:num w:numId="13">
    <w:abstractNumId w:val="9"/>
  </w:num>
  <w:num w:numId="14">
    <w:abstractNumId w:val="21"/>
  </w:num>
  <w:num w:numId="15">
    <w:abstractNumId w:val="0"/>
  </w:num>
  <w:num w:numId="16">
    <w:abstractNumId w:val="2"/>
  </w:num>
  <w:num w:numId="17">
    <w:abstractNumId w:val="14"/>
  </w:num>
  <w:num w:numId="18">
    <w:abstractNumId w:val="17"/>
  </w:num>
  <w:num w:numId="19">
    <w:abstractNumId w:val="20"/>
  </w:num>
  <w:num w:numId="20">
    <w:abstractNumId w:val="10"/>
  </w:num>
  <w:num w:numId="21">
    <w:abstractNumId w:val="4"/>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957"/>
    <w:rsid w:val="00043E5E"/>
    <w:rsid w:val="00060559"/>
    <w:rsid w:val="001329DA"/>
    <w:rsid w:val="001430D4"/>
    <w:rsid w:val="001A381F"/>
    <w:rsid w:val="001C197D"/>
    <w:rsid w:val="00201497"/>
    <w:rsid w:val="002A1A38"/>
    <w:rsid w:val="002C3533"/>
    <w:rsid w:val="002F4705"/>
    <w:rsid w:val="004704CB"/>
    <w:rsid w:val="00472C23"/>
    <w:rsid w:val="004F5AC9"/>
    <w:rsid w:val="005B036D"/>
    <w:rsid w:val="005C21AE"/>
    <w:rsid w:val="005D2C3B"/>
    <w:rsid w:val="006161C3"/>
    <w:rsid w:val="006B533F"/>
    <w:rsid w:val="00764798"/>
    <w:rsid w:val="008160B8"/>
    <w:rsid w:val="008774CA"/>
    <w:rsid w:val="008C210D"/>
    <w:rsid w:val="008E5027"/>
    <w:rsid w:val="009445CE"/>
    <w:rsid w:val="00986DFF"/>
    <w:rsid w:val="00996371"/>
    <w:rsid w:val="009D2ADB"/>
    <w:rsid w:val="00A10957"/>
    <w:rsid w:val="00A65234"/>
    <w:rsid w:val="00A76BEC"/>
    <w:rsid w:val="00AC566A"/>
    <w:rsid w:val="00B26F42"/>
    <w:rsid w:val="00B5381E"/>
    <w:rsid w:val="00BA1238"/>
    <w:rsid w:val="00C427D5"/>
    <w:rsid w:val="00D44D61"/>
    <w:rsid w:val="00D63AC1"/>
    <w:rsid w:val="00D665EE"/>
    <w:rsid w:val="00D97402"/>
    <w:rsid w:val="00DB08A1"/>
    <w:rsid w:val="00E55D26"/>
    <w:rsid w:val="00E6269A"/>
    <w:rsid w:val="00EB21D6"/>
    <w:rsid w:val="00EB6951"/>
    <w:rsid w:val="00F4083B"/>
    <w:rsid w:val="00FD63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67530"/>
  <w15:docId w15:val="{49ADAC58-3492-B849-BD92-EDB8F7636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rFonts w:ascii="Proxima Nova" w:eastAsia="Proxima Nova" w:hAnsi="Proxima Nova" w:cs="Proxima Nova"/>
      <w:b/>
      <w:color w:val="24395A"/>
      <w:sz w:val="36"/>
      <w:szCs w:val="36"/>
    </w:rPr>
  </w:style>
  <w:style w:type="paragraph" w:styleId="Heading2">
    <w:name w:val="heading 2"/>
    <w:basedOn w:val="Normal"/>
    <w:next w:val="Normal"/>
    <w:uiPriority w:val="9"/>
    <w:unhideWhenUsed/>
    <w:qFormat/>
    <w:pPr>
      <w:keepNext/>
      <w:keepLines/>
      <w:spacing w:before="40" w:after="0"/>
      <w:outlineLvl w:val="1"/>
    </w:pPr>
    <w:rPr>
      <w:rFonts w:ascii="Proxima Nova" w:eastAsia="Proxima Nova" w:hAnsi="Proxima Nova" w:cs="Proxima Nova"/>
      <w:color w:val="0070C0"/>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style>
  <w:style w:type="table" w:customStyle="1" w:styleId="a0">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style>
  <w:style w:type="table" w:customStyle="1" w:styleId="a1">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style>
  <w:style w:type="table" w:customStyle="1" w:styleId="a2">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style>
  <w:style w:type="table" w:customStyle="1" w:styleId="a3">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style>
  <w:style w:type="table" w:customStyle="1" w:styleId="a4">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style>
  <w:style w:type="table" w:customStyle="1" w:styleId="a5">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style>
  <w:style w:type="table" w:customStyle="1" w:styleId="a6">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style>
  <w:style w:type="table" w:customStyle="1" w:styleId="a7">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style>
  <w:style w:type="table" w:customStyle="1" w:styleId="a8">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style>
  <w:style w:type="table" w:customStyle="1" w:styleId="a9">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style>
  <w:style w:type="table" w:customStyle="1" w:styleId="aa">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style>
  <w:style w:type="table" w:customStyle="1" w:styleId="ad">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style>
  <w:style w:type="table" w:customStyle="1" w:styleId="ae">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style>
  <w:style w:type="table" w:customStyle="1" w:styleId="af1">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style>
  <w:style w:type="table" w:customStyle="1" w:styleId="af2">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style>
  <w:style w:type="table" w:customStyle="1" w:styleId="af3">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style>
  <w:style w:type="table" w:customStyle="1" w:styleId="af4">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style>
  <w:style w:type="table" w:customStyle="1" w:styleId="af5">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style>
  <w:style w:type="table" w:customStyle="1" w:styleId="af6">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style>
  <w:style w:type="table" w:customStyle="1" w:styleId="af7">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style>
  <w:style w:type="table" w:customStyle="1" w:styleId="af8">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style>
  <w:style w:type="table" w:customStyle="1" w:styleId="af9">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style>
  <w:style w:type="table" w:customStyle="1" w:styleId="afa">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style>
  <w:style w:type="table" w:customStyle="1" w:styleId="afb">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style>
  <w:style w:type="table" w:customStyle="1" w:styleId="afc">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style>
  <w:style w:type="table" w:customStyle="1" w:styleId="afd">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style>
  <w:style w:type="table" w:customStyle="1" w:styleId="afe">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style>
  <w:style w:type="table" w:customStyle="1" w:styleId="aff">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style>
  <w:style w:type="table" w:customStyle="1" w:styleId="aff0">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style>
  <w:style w:type="table" w:customStyle="1" w:styleId="aff1">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style>
  <w:style w:type="table" w:customStyle="1" w:styleId="aff2">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style>
  <w:style w:type="table" w:customStyle="1" w:styleId="aff3">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style>
  <w:style w:type="table" w:customStyle="1" w:styleId="aff4">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style>
  <w:style w:type="table" w:customStyle="1" w:styleId="aff5">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style>
  <w:style w:type="table" w:customStyle="1" w:styleId="aff6">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style>
  <w:style w:type="table" w:customStyle="1" w:styleId="aff7">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style>
  <w:style w:type="table" w:customStyle="1" w:styleId="aff8">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style>
  <w:style w:type="table" w:customStyle="1" w:styleId="aff9">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style>
  <w:style w:type="table" w:customStyle="1" w:styleId="affa">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style>
  <w:style w:type="table" w:customStyle="1" w:styleId="affb">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style>
  <w:style w:type="table" w:customStyle="1" w:styleId="affc">
    <w:basedOn w:val="TableNormal"/>
    <w:pPr>
      <w:spacing w:after="0" w:line="240" w:lineRule="auto"/>
      <w:ind w:left="108" w:right="108"/>
    </w:pPr>
    <w:rPr>
      <w:rFonts w:ascii="Arial" w:eastAsia="Arial" w:hAnsi="Arial" w:cs="Arial"/>
      <w:color w:val="404040"/>
      <w:sz w:val="16"/>
      <w:szCs w:val="16"/>
    </w:rPr>
    <w:tblPr>
      <w:tblStyleRowBandSize w:val="1"/>
      <w:tblStyleColBandSize w:val="1"/>
      <w:tblCellMar>
        <w:top w:w="45" w:type="dxa"/>
        <w:left w:w="0" w:type="dxa"/>
        <w:bottom w:w="45" w:type="dxa"/>
        <w:right w:w="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B21D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21D6"/>
    <w:rPr>
      <w:rFonts w:ascii="Times New Roman" w:hAnsi="Times New Roman" w:cs="Times New Roman"/>
      <w:sz w:val="18"/>
      <w:szCs w:val="18"/>
    </w:rPr>
  </w:style>
  <w:style w:type="paragraph" w:styleId="Revision">
    <w:name w:val="Revision"/>
    <w:hidden/>
    <w:uiPriority w:val="99"/>
    <w:semiHidden/>
    <w:rsid w:val="004704CB"/>
    <w:pPr>
      <w:spacing w:after="0" w:line="240" w:lineRule="auto"/>
    </w:pPr>
  </w:style>
  <w:style w:type="paragraph" w:styleId="FootnoteText">
    <w:name w:val="footnote text"/>
    <w:basedOn w:val="Normal"/>
    <w:link w:val="FootnoteTextChar"/>
    <w:uiPriority w:val="99"/>
    <w:semiHidden/>
    <w:unhideWhenUsed/>
    <w:rsid w:val="008774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74CA"/>
    <w:rPr>
      <w:sz w:val="20"/>
      <w:szCs w:val="20"/>
    </w:rPr>
  </w:style>
  <w:style w:type="character" w:styleId="FootnoteReference">
    <w:name w:val="footnote reference"/>
    <w:basedOn w:val="DefaultParagraphFont"/>
    <w:uiPriority w:val="99"/>
    <w:semiHidden/>
    <w:unhideWhenUsed/>
    <w:rsid w:val="008774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edusector.cxb@humanitarianresponse.inf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6</Pages>
  <Words>2275</Words>
  <Characters>12969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Tazreen Jahan</cp:lastModifiedBy>
  <cp:revision>6</cp:revision>
  <dcterms:created xsi:type="dcterms:W3CDTF">2019-11-22T11:31:00Z</dcterms:created>
  <dcterms:modified xsi:type="dcterms:W3CDTF">2020-01-09T04:09:00Z</dcterms:modified>
</cp:coreProperties>
</file>