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lxslaxh7p7vh" w:id="0"/>
      <w:bookmarkEnd w:id="0"/>
      <w:r w:rsidDel="00000000" w:rsidR="00000000" w:rsidRPr="00000000">
        <w:rPr>
          <w:sz w:val="16"/>
          <w:szCs w:val="16"/>
          <w:rtl w:val="0"/>
        </w:rPr>
        <w:t xml:space="preserve">Group 7: Bilgin Eren, Cobzaru Alexia, Costache Raluca, Melat Assefa, Mohamed Elshami, Musaed Alfareh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ESCO(European Skills, Competences, Qualifications and Occupations)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Online Courses, Kaggle: course catalog sourced from Coursera, FutureLearn, Udacity, SimpleLearn.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" w:tblpY="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3810"/>
        <w:gridCol w:w="4245"/>
        <w:tblGridChange w:id="0">
          <w:tblGrid>
            <w:gridCol w:w="1320"/>
            <w:gridCol w:w="3810"/>
            <w:gridCol w:w="4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()</w:t>
            </w: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Use ESCO | European Skills, Competences, Qualifications and Occupations (ESCO)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Online Courses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Online Courses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Volume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Raw: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ISCOGroups en.csv (619 groups), occupationSkillRelations_en.csv (126,051 rows), and skills_en.csv (13,960 concepts).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Cleaned: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isco_clean.csv (619 groups), skills_clean.csv (2,154 concepts), and relations_clean.csv (9,376 rows).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Raw: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8,092 rows and 45 columns;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Coursera (2,819), FutureLearn (4,843),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Udacity (282), and Simplilearn (148).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Cleaned: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5,275 rows and 24 columns;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Coursera (2,819), FutureLearn (2,031),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Udacity (277), and Simplilearn (148).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dataset downloaded once; there is no real-time intake.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dataset downloaded once; there is no real-time intake.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Structured CSV files containing free-text labels, hierarchy codes, and URI keys that link four tables.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data collected from four platforms: Coursera, FutureLearn, Udacity, and Simplilearn.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duplicate rows were found in the CSV files. The 23 rows missing skillType in occupationSkillRelations en.csv were backfilled from skills clean.csv by tracing them to five specific skills.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Five duplicate Udacity rows were removed. A total of 4,843 scraped entries were consolidated into 2,031 unique FutureLearn courses. Some Coursera courses share a title and some Simplilearn courses share a URL; these records were retained because they refer to different courses.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Input, Output, Preprocessing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</w:t>
      </w:r>
    </w:p>
    <w:p w:rsidR="00000000" w:rsidDel="00000000" w:rsidP="00000000" w:rsidRDefault="00000000" w:rsidRPr="00000000" w14:paraId="0000002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combine two models, each solving one part of the task. Model 1 sorts a course into a subject so the system can narrow the catalogue; Model 2 matches a course's free-text skills to ESCO skills so the system can explain where a study path leads.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1: Course → Category (supervised classification)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sz w:val="18"/>
          <w:szCs w:val="18"/>
          <w:rtl w:val="0"/>
        </w:rPr>
        <w:t xml:space="preserve"> course title + short intro.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sz w:val="18"/>
          <w:szCs w:val="18"/>
          <w:rtl w:val="0"/>
        </w:rPr>
        <w:t xml:space="preserve"> one of 11 categories + confidence.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</w:t>
      </w:r>
      <w:r w:rsidDel="00000000" w:rsidR="00000000" w:rsidRPr="00000000">
        <w:rPr>
          <w:sz w:val="18"/>
          <w:szCs w:val="18"/>
          <w:rtl w:val="0"/>
        </w:rPr>
        <w:t xml:space="preserve"> the 2,577 labelled Coursera courses left after removing duplicates; fixed stratified split of 1,805 train / 386 dev / 386 test (seed 42). Three models were compared on dev; the best dev macro-F1 was selected and the test set was scored only once.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5.488"/>
        <w:gridCol w:w="1287.936"/>
        <w:gridCol w:w="1257.984"/>
        <w:gridCol w:w="2456.064"/>
        <w:gridCol w:w="1542.5279999999998"/>
        <w:tblGridChange w:id="0">
          <w:tblGrid>
            <w:gridCol w:w="2815.488"/>
            <w:gridCol w:w="1287.936"/>
            <w:gridCol w:w="1257.984"/>
            <w:gridCol w:w="2456.064"/>
            <w:gridCol w:w="1542.527999999999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 accuracy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 macro-F1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Inference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Majority-class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&lt;0.01 ms/item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TF-IDF + Logistic Regression (selected)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0.62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0.13 ms/item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TF-IDF → SVD(300) → MLP (256 hidden)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7.18 s, 92 epochs, final loss 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0.09 ms/item</w:t>
            </w:r>
          </w:p>
        </w:tc>
      </w:tr>
    </w:tbl>
    <w:p w:rsidR="00000000" w:rsidDel="00000000" w:rsidP="00000000" w:rsidRDefault="00000000" w:rsidRPr="00000000" w14:paraId="00000038">
      <w:pPr>
        <w:spacing w:after="120" w:before="1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 result (Logistic Regression): accuracy 0.795, macro-F1 0.772.</w:t>
      </w:r>
      <w:r w:rsidDel="00000000" w:rsidR="00000000" w:rsidRPr="00000000">
        <w:rPr>
          <w:sz w:val="18"/>
          <w:szCs w:val="18"/>
          <w:rtl w:val="0"/>
        </w:rPr>
        <w:t xml:space="preserve"> Macro-F1 is reported next to accuracy because classes are very uneven (Business 32%, Math &amp; Logic only 22 courses); always guessing Business already gives 32% accuracy. The weakest classes are the smallest (Social Sciences F1 0.58, Personal Development 0.64). The MLP's training loss drops almost to zero while its dev macro-F1 is lower, so it overfits the 1.8k training examples; we therefore kept the simpler linear model.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2: Skill → ESCO (semantic retrieval)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Input:</w:t>
      </w:r>
      <w:r w:rsidDel="00000000" w:rsidR="00000000" w:rsidRPr="00000000">
        <w:rPr>
          <w:sz w:val="18"/>
          <w:szCs w:val="18"/>
          <w:rtl w:val="0"/>
        </w:rPr>
        <w:t xml:space="preserve"> one free-text course skill.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  <w:r w:rsidDel="00000000" w:rsidR="00000000" w:rsidRPr="00000000">
        <w:rPr>
          <w:sz w:val="18"/>
          <w:szCs w:val="18"/>
          <w:rtl w:val="0"/>
        </w:rPr>
        <w:t xml:space="preserve"> top-5 ESCO skills + similarity score. Nothing is trained on our data: ESCO skills are ranked by cosine similarity using a pretrained sentence encoder (all-MiniLM-L6-v2) or word + character TF-IDF. Exact string matching links only 7.4% of the 4,229 distinct course skills to ESCO, so a lookup table is not enough. With no labelled course–ESCO pairs, we held out one alternative label per ESCO skill and used it as a query with a known answer (index: 2,154 skills).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4.72"/>
        <w:gridCol w:w="2006.7839999999999"/>
        <w:gridCol w:w="2006.7839999999999"/>
        <w:gridCol w:w="2051.712"/>
        <w:tblGridChange w:id="0">
          <w:tblGrid>
            <w:gridCol w:w="3294.72"/>
            <w:gridCol w:w="2006.7839999999999"/>
            <w:gridCol w:w="2006.7839999999999"/>
            <w:gridCol w:w="2051.712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Top-1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Top-5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MRR@5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Exact string match (baseline)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Word + character TF-IDF cosine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0.864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Sentence embeddings (all-MiniLM-L6-v2)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0.905</w:t>
            </w:r>
          </w:p>
        </w:tc>
      </w:tr>
    </w:tbl>
    <w:p w:rsidR="00000000" w:rsidDel="00000000" w:rsidP="00000000" w:rsidRDefault="00000000" w:rsidRPr="00000000" w14:paraId="0000004B">
      <w:pPr>
        <w:spacing w:after="120"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the real course skills, 65.9% reach a similarity of at least 0.35 (TF-IDF).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adequacy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Both are standard machine-learning methods sized to the data. A keyword lookup is too simple (matches only 7.4% of skills); fine-tuning or training a transformer on ~1.8k labelled texts would be too complex and would overfit. Everything runs on a CPU in seconds (Intel, Windows 11), no GPU needed.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Task-Architecture Fit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architecture matches what its sub-task actually requires. Model 1 is a closed-set classification problem over a modest labelled set (1.8k training texts), so a linear model on sparse TF-IDF features is the right size: the dev comparison shows it already matches the higher-capacity MLP on accuracy while generalising better, so nothing is gained by adding depth. Model 2 has no labelled course-to-ESCO pairs to train on and must generalise to skill phrasings it has never seen, which rules out a supervised classifier; a pretrained sentence encoder used purely for retrieval fits that constraint without requiring any task-specific training data. Sentence embeddings naturally align with short phrase semantics without truncation issues, and pre-indexing vectors enables fast, scalable nearest-neighbor retrieval without slow cross-encoder overhead.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Evaluation vs. Real-World Domain Shift 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86.6% Top-1 accuracy is measured on formal ESCO synonyms, meaning real course skills—where 34.1% fall below a 0.35 similarity threshold—may face lower real-world precision and require confidence score cutoffs.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sz w:val="18"/>
          <w:szCs w:val="18"/>
          <w:rtl w:val="0"/>
        </w:rPr>
        <w:t xml:space="preserve">Python 3.13.9, Windows 11, CPU-only (no GPU); conda-managed (environment.yml), Git for version control, fixed seed 42. 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sz w:val="18"/>
          <w:szCs w:val="18"/>
          <w:rtl w:val="0"/>
        </w:rPr>
        <w:t xml:space="preserve">Loading, cleaning, deduplication, and descriptive statistics use pandas 2.3.3 and NumPy 2.3.5. Exploratory profiling charts and tables in the data-cleaning notebooks use matplotlib 3.10.6, seaborn 0.13.2 and IPython 9.7.0. 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Model: </w:t>
      </w:r>
      <w:r w:rsidDel="00000000" w:rsidR="00000000" w:rsidRPr="00000000">
        <w:rPr>
          <w:sz w:val="18"/>
          <w:szCs w:val="18"/>
          <w:rtl w:val="0"/>
        </w:rPr>
        <w:t xml:space="preserve">scikit-learn 1.7.2 provides both models' machinery — TF-IDF, TruncatedSVD, LogisticRegression, MLPClassifier and the majority baseline for Model 1, and TF-IDF + cosine similarity plus all metrics (accuracy, macro-F1, per-class report, MRR) for evaluation. Model 2's neural retriever uses sentence-transformers 5.5.1 (all-MiniLM-L6-v2, PyTorch 2.12.0 backend). Fitted pipelines are saved with joblib 1.5.2; the confusion matrix and training-loss curve use matplotlib. 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Reproducibility.  </w:t>
      </w:r>
      <w:r w:rsidDel="00000000" w:rsidR="00000000" w:rsidRPr="00000000">
        <w:rPr>
          <w:sz w:val="18"/>
          <w:szCs w:val="18"/>
          <w:rtl w:val="0"/>
        </w:rPr>
        <w:t xml:space="preserve">Notebooks are executed headlessly with Jupyter nbconvert 7.16.6; every reported number is written to data/processed/ by the notebook that produced it rather than transcribed from a cell, so the report is assembled from files.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co.ec.europa.eu/en/download/confirmation?q=ajBCZmlKMmNyV1FJY3F3UklUMzQxQkxTMlZOZmY0am45b0pscVlmbjdEMEN6Y0dBbmtNRmNxbkZJYTlkWGxiMHlTWTZkSURJQ1d1aEt2NlhTazRGaDNSSWY5cC84TEl6UVdEUmZsMGdhekFBNUkrQVhCRmcxTTV3U3d4WGkzNnFlOXVFSDNaVUJmeUJtR3BzajVGMDdaOXBRekZ6bThTa2xrVk51NUJFSk8rb3ZJME5MVm1RZVhFa2MrUk1NMG15OGZOSWlKejJaSGs4emhLTUkvNXBVNFdENlUzWEhuaVgvOTZkdWFhNENST3RKbHVXSEN1Y1I3dU1lbENEZmxiSFRZQUEzNnpxZWw3NWYyUm1TV0xYT0VPaEJCQWFzU1AwNWxHdCs4aTF4TWc9" TargetMode="External"/><Relationship Id="rId7" Type="http://schemas.openxmlformats.org/officeDocument/2006/relationships/hyperlink" Target="https://www.kaggle.com/datasets/khaledatef1/online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