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Arial" w:hAnsi="Arial"/>
          <w:b/>
          <w:color w:val="000000"/>
          <w:sz w:val="32"/>
        </w:rPr>
        <w:t>Title (Name of your software: EpiST-Shield)</w:t>
      </w:r>
    </w:p>
    <w:p>
      <w:pPr>
        <w:spacing w:after="240"/>
      </w:pPr>
      <w:r>
        <w:rPr>
          <w:rFonts w:ascii="Arial" w:hAnsi="Arial"/>
          <w:b/>
          <w:color w:val="000000"/>
          <w:sz w:val="26"/>
        </w:rPr>
        <w:t>EpiST-Shield: An Open-Access Web-Based Decision Support Platform for Multi-Horizon Dengue Outbreak Forecasting and Prescriptive Healthcare Resource Allocation in Bangladesh</w:t>
      </w:r>
    </w:p>
    <w:p>
      <w:pPr>
        <w:spacing w:before="280" w:after="120"/>
      </w:pPr>
      <w:r>
        <w:rPr>
          <w:rFonts w:ascii="Arial" w:hAnsi="Arial"/>
          <w:b/>
          <w:color w:val="000000"/>
          <w:sz w:val="28"/>
        </w:rPr>
        <w:t>Names of authors / main developers (incl. affiliations, addresses, email)</w:t>
      </w:r>
    </w:p>
    <w:p>
      <w:pPr>
        <w:spacing w:after="120" w:line="276" w:lineRule="auto"/>
      </w:pPr>
      <w:r>
        <w:rPr>
          <w:rFonts w:ascii="Arial" w:hAnsi="Arial"/>
          <w:color w:val="000000"/>
          <w:sz w:val="22"/>
        </w:rPr>
        <w:t>Md. Mosharrof Hossain¹*</w:t>
      </w:r>
    </w:p>
    <w:p>
      <w:pPr>
        <w:spacing w:after="120" w:line="276" w:lineRule="auto"/>
      </w:pPr>
      <w:r>
        <w:rPr>
          <w:rFonts w:ascii="Arial" w:hAnsi="Arial"/>
          <w:color w:val="000000"/>
          <w:sz w:val="22"/>
        </w:rPr>
        <w:t>¹Department of Computer Science &amp; Engineering, Bangladesh</w:t>
      </w:r>
    </w:p>
    <w:p>
      <w:pPr>
        <w:spacing w:after="120" w:line="276" w:lineRule="auto"/>
      </w:pPr>
      <w:r>
        <w:rPr>
          <w:rFonts w:ascii="Arial" w:hAnsi="Arial"/>
          <w:b/>
          <w:color w:val="000000"/>
          <w:sz w:val="22"/>
        </w:rPr>
        <w:t xml:space="preserve">*Corresponding author email: </w:t>
      </w:r>
      <w:r>
        <w:rPr>
          <w:rFonts w:ascii="Arial" w:hAnsi="Arial"/>
          <w:color w:val="000000"/>
          <w:sz w:val="22"/>
        </w:rPr>
        <w:t>mdmosharrofhossain455@gmail.com</w:t>
      </w:r>
    </w:p>
    <w:p>
      <w:pPr>
        <w:spacing w:before="280" w:after="120"/>
      </w:pPr>
      <w:r>
        <w:rPr>
          <w:rFonts w:ascii="Arial" w:hAnsi="Arial"/>
          <w:b/>
          <w:color w:val="000000"/>
          <w:sz w:val="28"/>
        </w:rPr>
        <w:t>Abstract</w:t>
      </w:r>
    </w:p>
    <w:p>
      <w:pPr>
        <w:spacing w:after="120" w:line="276" w:lineRule="auto"/>
      </w:pPr>
      <w:r>
        <w:rPr>
          <w:rFonts w:ascii="Arial" w:hAnsi="Arial"/>
          <w:color w:val="000000"/>
          <w:sz w:val="22"/>
        </w:rPr>
        <w:t>Dengue fever presents a recurring public health crisis in Bangladesh, characterized by localized outbreak surges and severe hospital resource exhaustion. Translating complex epidemiological models into real-time operational decisions remains a major hurdle for public health authorities. Here, we introduce EpiST-Shield, an open-access, web-based decision support platform designed for multi-horizon (7-, 14-, 21-, and 30-day) dengue forecasting and prescriptive health logistics planning across 11 focal endemic districts. Powered by an asynchronous FastAPI backend and a pre-trained deep learning inference engine (EpiST-Former), EpiST-Shield achieves sub-millisecond core inference latency (&lt;0.02 ms) and supports high-concurrency throughput exceeding 48,500 requests per second. The platform translates raw case projections into automated hospital resource schedules (beds, NS1 kits, saline bags), weekly priority dispatches, interactive 'What-If' weather scenario stress-testing, and executive PDF bulletins. A field usability audit with 15 health domain experts yielded a System Usability Scale (SUS) score of 88.4/100 (Grade A+ Excellent). EpiST-Shield is publicly deployed at https://dengu-forcasting.vercel.app/ under an open-source MIT license.</w:t>
      </w:r>
    </w:p>
    <w:p>
      <w:pPr>
        <w:spacing w:before="280" w:after="120"/>
      </w:pPr>
      <w:r>
        <w:rPr>
          <w:rFonts w:ascii="Arial" w:hAnsi="Arial"/>
          <w:b/>
          <w:color w:val="000000"/>
          <w:sz w:val="28"/>
        </w:rPr>
        <w:t>Keywords</w:t>
      </w:r>
    </w:p>
    <w:p>
      <w:pPr>
        <w:spacing w:after="120" w:line="276" w:lineRule="auto"/>
      </w:pPr>
      <w:r>
        <w:rPr>
          <w:rFonts w:ascii="Arial" w:hAnsi="Arial"/>
          <w:color w:val="000000"/>
          <w:sz w:val="22"/>
        </w:rPr>
        <w:t>Dengue forecasting; outbreak early-warning system; decision support system; healthcare resource planning; geospatial visualization; web deployment</w:t>
      </w:r>
    </w:p>
    <w:p>
      <w:pPr>
        <w:spacing w:before="280" w:after="120"/>
      </w:pPr>
      <w:r>
        <w:rPr>
          <w:rFonts w:ascii="Arial" w:hAnsi="Arial"/>
          <w:b/>
          <w:color w:val="000000"/>
          <w:sz w:val="28"/>
        </w:rPr>
        <w:t>Metadata</w:t>
      </w:r>
    </w:p>
    <w:p>
      <w:pPr>
        <w:spacing w:after="120" w:line="276" w:lineRule="auto"/>
      </w:pPr>
      <w:r>
        <w:rPr>
          <w:rFonts w:ascii="Arial" w:hAnsi="Arial"/>
          <w:color w:val="000000"/>
          <w:sz w:val="22"/>
        </w:rPr>
        <w:t>This ancillary data table is required for your submission. It summarizes the core code version, repository links, legal license, dependencies, and support metadata for EpiST-Shield.</w:t>
      </w:r>
    </w:p>
    <w:tbl>
      <w:tblPr>
        <w:tblW w:type="auto" w:w="0"/>
        <w:jc w:val="center"/>
        <w:tblLook w:firstColumn="1" w:firstRow="1" w:lastColumn="0" w:lastRow="0" w:noHBand="0" w:noVBand="1" w:val="04A0"/>
      </w:tblPr>
      <w:tblGrid>
        <w:gridCol w:w="3120"/>
        <w:gridCol w:w="3120"/>
        <w:gridCol w:w="3120"/>
      </w:tblGrid>
      <w:tr>
        <w:tc>
          <w:tcPr>
            <w:tcW w:type="dxa" w:w="3120"/>
            <w:shd w:fill="FFFFFF"/>
            <w:tcMar>
              <w:top w:w="100" w:type="dxa"/>
              <w:bottom w:w="100" w:type="dxa"/>
              <w:left w:w="100" w:type="dxa"/>
              <w:right w:w="100" w:type="dxa"/>
            </w:tcMar>
          </w:tcPr>
          <w:p>
            <w:pPr>
              <w:jc w:val="center"/>
            </w:pPr>
            <w:r>
              <w:rPr>
                <w:rFonts w:ascii="Arial" w:hAnsi="Arial"/>
                <w:b/>
                <w:color w:val="000000"/>
                <w:sz w:val="19"/>
              </w:rPr>
              <w:t>Nr</w:t>
            </w:r>
          </w:p>
        </w:tc>
        <w:tc>
          <w:tcPr>
            <w:tcW w:type="dxa" w:w="3120"/>
            <w:shd w:fill="FFFFFF"/>
            <w:tcMar>
              <w:top w:w="100" w:type="dxa"/>
              <w:bottom w:w="100" w:type="dxa"/>
              <w:left w:w="100" w:type="dxa"/>
              <w:right w:w="100" w:type="dxa"/>
            </w:tcMar>
          </w:tcPr>
          <w:p>
            <w:pPr>
              <w:jc w:val="center"/>
            </w:pPr>
            <w:r>
              <w:rPr>
                <w:rFonts w:ascii="Arial" w:hAnsi="Arial"/>
                <w:b/>
                <w:color w:val="000000"/>
                <w:sz w:val="19"/>
              </w:rPr>
              <w:t>Code metadata description</w:t>
            </w:r>
          </w:p>
        </w:tc>
        <w:tc>
          <w:tcPr>
            <w:tcW w:type="dxa" w:w="3120"/>
            <w:shd w:fill="FFFFFF"/>
            <w:tcMar>
              <w:top w:w="100" w:type="dxa"/>
              <w:bottom w:w="100" w:type="dxa"/>
              <w:left w:w="100" w:type="dxa"/>
              <w:right w:w="100" w:type="dxa"/>
            </w:tcMar>
          </w:tcPr>
          <w:p>
            <w:pPr>
              <w:jc w:val="center"/>
            </w:pPr>
            <w:r>
              <w:rPr>
                <w:rFonts w:ascii="Arial" w:hAnsi="Arial"/>
                <w:b/>
                <w:color w:val="000000"/>
                <w:sz w:val="19"/>
              </w:rPr>
              <w:t>Metadata</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C1</w:t>
            </w:r>
          </w:p>
        </w:tc>
        <w:tc>
          <w:tcPr>
            <w:tcW w:type="dxa" w:w="3120"/>
            <w:shd w:fill="FFFFFF"/>
            <w:tcMar>
              <w:top w:w="80" w:type="dxa"/>
              <w:bottom w:w="80" w:type="dxa"/>
              <w:left w:w="100" w:type="dxa"/>
              <w:right w:w="100" w:type="dxa"/>
            </w:tcMar>
          </w:tcPr>
          <w:p>
            <w:pPr>
              <w:jc w:val="left"/>
            </w:pPr>
            <w:r>
              <w:rPr>
                <w:rFonts w:ascii="Arial" w:hAnsi="Arial"/>
                <w:color w:val="000000"/>
                <w:sz w:val="18"/>
              </w:rPr>
              <w:t>Current code version</w:t>
            </w:r>
          </w:p>
        </w:tc>
        <w:tc>
          <w:tcPr>
            <w:tcW w:type="dxa" w:w="3120"/>
            <w:shd w:fill="FFFFFF"/>
            <w:tcMar>
              <w:top w:w="80" w:type="dxa"/>
              <w:bottom w:w="80" w:type="dxa"/>
              <w:left w:w="100" w:type="dxa"/>
              <w:right w:w="100" w:type="dxa"/>
            </w:tcMar>
          </w:tcPr>
          <w:p>
            <w:pPr>
              <w:jc w:val="left"/>
            </w:pPr>
            <w:r>
              <w:rPr>
                <w:rFonts w:ascii="Arial" w:hAnsi="Arial"/>
                <w:color w:val="000000"/>
                <w:sz w:val="18"/>
              </w:rPr>
              <w:t>v1.0.0</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C2</w:t>
            </w:r>
          </w:p>
        </w:tc>
        <w:tc>
          <w:tcPr>
            <w:tcW w:type="dxa" w:w="3120"/>
            <w:shd w:fill="FFFFFF"/>
            <w:tcMar>
              <w:top w:w="80" w:type="dxa"/>
              <w:bottom w:w="80" w:type="dxa"/>
              <w:left w:w="100" w:type="dxa"/>
              <w:right w:w="100" w:type="dxa"/>
            </w:tcMar>
          </w:tcPr>
          <w:p>
            <w:pPr>
              <w:jc w:val="left"/>
            </w:pPr>
            <w:r>
              <w:rPr>
                <w:rFonts w:ascii="Arial" w:hAnsi="Arial"/>
                <w:color w:val="000000"/>
                <w:sz w:val="18"/>
              </w:rPr>
              <w:t>Permanent link to code/repository used for this code version</w:t>
            </w:r>
          </w:p>
        </w:tc>
        <w:tc>
          <w:tcPr>
            <w:tcW w:type="dxa" w:w="3120"/>
            <w:shd w:fill="FFFFFF"/>
            <w:tcMar>
              <w:top w:w="80" w:type="dxa"/>
              <w:bottom w:w="80" w:type="dxa"/>
              <w:left w:w="100" w:type="dxa"/>
              <w:right w:w="100" w:type="dxa"/>
            </w:tcMar>
          </w:tcPr>
          <w:p>
            <w:pPr>
              <w:jc w:val="left"/>
            </w:pPr>
            <w:r>
              <w:rPr>
                <w:rFonts w:ascii="Arial" w:hAnsi="Arial"/>
                <w:color w:val="000000"/>
                <w:sz w:val="18"/>
              </w:rPr>
              <w:t>https://github.com/Mosharrof8097/Dengu-forcasting</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C3</w:t>
            </w:r>
          </w:p>
        </w:tc>
        <w:tc>
          <w:tcPr>
            <w:tcW w:type="dxa" w:w="3120"/>
            <w:shd w:fill="FFFFFF"/>
            <w:tcMar>
              <w:top w:w="80" w:type="dxa"/>
              <w:bottom w:w="80" w:type="dxa"/>
              <w:left w:w="100" w:type="dxa"/>
              <w:right w:w="100" w:type="dxa"/>
            </w:tcMar>
          </w:tcPr>
          <w:p>
            <w:pPr>
              <w:jc w:val="left"/>
            </w:pPr>
            <w:r>
              <w:rPr>
                <w:rFonts w:ascii="Arial" w:hAnsi="Arial"/>
                <w:color w:val="000000"/>
                <w:sz w:val="18"/>
              </w:rPr>
              <w:t>Legal code license</w:t>
            </w:r>
          </w:p>
        </w:tc>
        <w:tc>
          <w:tcPr>
            <w:tcW w:type="dxa" w:w="3120"/>
            <w:shd w:fill="FFFFFF"/>
            <w:tcMar>
              <w:top w:w="80" w:type="dxa"/>
              <w:bottom w:w="80" w:type="dxa"/>
              <w:left w:w="100" w:type="dxa"/>
              <w:right w:w="100" w:type="dxa"/>
            </w:tcMar>
          </w:tcPr>
          <w:p>
            <w:pPr>
              <w:jc w:val="left"/>
            </w:pPr>
            <w:r>
              <w:rPr>
                <w:rFonts w:ascii="Arial" w:hAnsi="Arial"/>
                <w:color w:val="000000"/>
                <w:sz w:val="18"/>
              </w:rPr>
              <w:t>MIT License</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C4</w:t>
            </w:r>
          </w:p>
        </w:tc>
        <w:tc>
          <w:tcPr>
            <w:tcW w:type="dxa" w:w="3120"/>
            <w:shd w:fill="FFFFFF"/>
            <w:tcMar>
              <w:top w:w="80" w:type="dxa"/>
              <w:bottom w:w="80" w:type="dxa"/>
              <w:left w:w="100" w:type="dxa"/>
              <w:right w:w="100" w:type="dxa"/>
            </w:tcMar>
          </w:tcPr>
          <w:p>
            <w:pPr>
              <w:jc w:val="left"/>
            </w:pPr>
            <w:r>
              <w:rPr>
                <w:rFonts w:ascii="Arial" w:hAnsi="Arial"/>
                <w:color w:val="000000"/>
                <w:sz w:val="18"/>
              </w:rPr>
              <w:t>Code versioning system used</w:t>
            </w:r>
          </w:p>
        </w:tc>
        <w:tc>
          <w:tcPr>
            <w:tcW w:type="dxa" w:w="3120"/>
            <w:shd w:fill="FFFFFF"/>
            <w:tcMar>
              <w:top w:w="80" w:type="dxa"/>
              <w:bottom w:w="80" w:type="dxa"/>
              <w:left w:w="100" w:type="dxa"/>
              <w:right w:w="100" w:type="dxa"/>
            </w:tcMar>
          </w:tcPr>
          <w:p>
            <w:pPr>
              <w:jc w:val="left"/>
            </w:pPr>
            <w:r>
              <w:rPr>
                <w:rFonts w:ascii="Arial" w:hAnsi="Arial"/>
                <w:color w:val="000000"/>
                <w:sz w:val="18"/>
              </w:rPr>
              <w:t>git</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C5</w:t>
            </w:r>
          </w:p>
        </w:tc>
        <w:tc>
          <w:tcPr>
            <w:tcW w:type="dxa" w:w="3120"/>
            <w:shd w:fill="FFFFFF"/>
            <w:tcMar>
              <w:top w:w="80" w:type="dxa"/>
              <w:bottom w:w="80" w:type="dxa"/>
              <w:left w:w="100" w:type="dxa"/>
              <w:right w:w="100" w:type="dxa"/>
            </w:tcMar>
          </w:tcPr>
          <w:p>
            <w:pPr>
              <w:jc w:val="left"/>
            </w:pPr>
            <w:r>
              <w:rPr>
                <w:rFonts w:ascii="Arial" w:hAnsi="Arial"/>
                <w:color w:val="000000"/>
                <w:sz w:val="18"/>
              </w:rPr>
              <w:t>Software code languages, tools and services used</w:t>
            </w:r>
          </w:p>
        </w:tc>
        <w:tc>
          <w:tcPr>
            <w:tcW w:type="dxa" w:w="3120"/>
            <w:shd w:fill="FFFFFF"/>
            <w:tcMar>
              <w:top w:w="80" w:type="dxa"/>
              <w:bottom w:w="80" w:type="dxa"/>
              <w:left w:w="100" w:type="dxa"/>
              <w:right w:w="100" w:type="dxa"/>
            </w:tcMar>
          </w:tcPr>
          <w:p>
            <w:pPr>
              <w:jc w:val="left"/>
            </w:pPr>
            <w:r>
              <w:rPr>
                <w:rFonts w:ascii="Arial" w:hAnsi="Arial"/>
                <w:color w:val="000000"/>
                <w:sz w:val="18"/>
              </w:rPr>
              <w:t>Python 3.12, FastAPI, TensorFlow/Keras 3.x, HTML5, Vanilla CSS3, JavaScript (ES6+), Leaflet.js, Vercel</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C6</w:t>
            </w:r>
          </w:p>
        </w:tc>
        <w:tc>
          <w:tcPr>
            <w:tcW w:type="dxa" w:w="3120"/>
            <w:shd w:fill="FFFFFF"/>
            <w:tcMar>
              <w:top w:w="80" w:type="dxa"/>
              <w:bottom w:w="80" w:type="dxa"/>
              <w:left w:w="100" w:type="dxa"/>
              <w:right w:w="100" w:type="dxa"/>
            </w:tcMar>
          </w:tcPr>
          <w:p>
            <w:pPr>
              <w:jc w:val="left"/>
            </w:pPr>
            <w:r>
              <w:rPr>
                <w:rFonts w:ascii="Arial" w:hAnsi="Arial"/>
                <w:color w:val="000000"/>
                <w:sz w:val="18"/>
              </w:rPr>
              <w:t>Compilation requirements, operating environments and dependencies</w:t>
            </w:r>
          </w:p>
        </w:tc>
        <w:tc>
          <w:tcPr>
            <w:tcW w:type="dxa" w:w="3120"/>
            <w:shd w:fill="FFFFFF"/>
            <w:tcMar>
              <w:top w:w="80" w:type="dxa"/>
              <w:bottom w:w="80" w:type="dxa"/>
              <w:left w:w="100" w:type="dxa"/>
              <w:right w:w="100" w:type="dxa"/>
            </w:tcMar>
          </w:tcPr>
          <w:p>
            <w:pPr>
              <w:jc w:val="left"/>
            </w:pPr>
            <w:r>
              <w:rPr>
                <w:rFonts w:ascii="Arial" w:hAnsi="Arial"/>
                <w:color w:val="000000"/>
                <w:sz w:val="18"/>
              </w:rPr>
              <w:t>Python 3.10+; Node.js 18+; see requirements.txt and package.json</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C7</w:t>
            </w:r>
          </w:p>
        </w:tc>
        <w:tc>
          <w:tcPr>
            <w:tcW w:type="dxa" w:w="3120"/>
            <w:shd w:fill="FFFFFF"/>
            <w:tcMar>
              <w:top w:w="80" w:type="dxa"/>
              <w:bottom w:w="80" w:type="dxa"/>
              <w:left w:w="100" w:type="dxa"/>
              <w:right w:w="100" w:type="dxa"/>
            </w:tcMar>
          </w:tcPr>
          <w:p>
            <w:pPr>
              <w:jc w:val="left"/>
            </w:pPr>
            <w:r>
              <w:rPr>
                <w:rFonts w:ascii="Arial" w:hAnsi="Arial"/>
                <w:color w:val="000000"/>
                <w:sz w:val="18"/>
              </w:rPr>
              <w:t>If available, link to developer documentation/manual</w:t>
            </w:r>
          </w:p>
        </w:tc>
        <w:tc>
          <w:tcPr>
            <w:tcW w:type="dxa" w:w="3120"/>
            <w:shd w:fill="FFFFFF"/>
            <w:tcMar>
              <w:top w:w="80" w:type="dxa"/>
              <w:bottom w:w="80" w:type="dxa"/>
              <w:left w:w="100" w:type="dxa"/>
              <w:right w:w="100" w:type="dxa"/>
            </w:tcMar>
          </w:tcPr>
          <w:p>
            <w:pPr>
              <w:jc w:val="left"/>
            </w:pPr>
            <w:r>
              <w:rPr>
                <w:rFonts w:ascii="Arial" w:hAnsi="Arial"/>
                <w:color w:val="000000"/>
                <w:sz w:val="18"/>
              </w:rPr>
              <w:t>https://dengu-forcasting.vercel.app/</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C8</w:t>
            </w:r>
          </w:p>
        </w:tc>
        <w:tc>
          <w:tcPr>
            <w:tcW w:type="dxa" w:w="3120"/>
            <w:shd w:fill="FFFFFF"/>
            <w:tcMar>
              <w:top w:w="80" w:type="dxa"/>
              <w:bottom w:w="80" w:type="dxa"/>
              <w:left w:w="100" w:type="dxa"/>
              <w:right w:w="100" w:type="dxa"/>
            </w:tcMar>
          </w:tcPr>
          <w:p>
            <w:pPr>
              <w:jc w:val="left"/>
            </w:pPr>
            <w:r>
              <w:rPr>
                <w:rFonts w:ascii="Arial" w:hAnsi="Arial"/>
                <w:color w:val="000000"/>
                <w:sz w:val="18"/>
              </w:rPr>
              <w:t>Support email for questions</w:t>
            </w:r>
          </w:p>
        </w:tc>
        <w:tc>
          <w:tcPr>
            <w:tcW w:type="dxa" w:w="3120"/>
            <w:shd w:fill="FFFFFF"/>
            <w:tcMar>
              <w:top w:w="80" w:type="dxa"/>
              <w:bottom w:w="80" w:type="dxa"/>
              <w:left w:w="100" w:type="dxa"/>
              <w:right w:w="100" w:type="dxa"/>
            </w:tcMar>
          </w:tcPr>
          <w:p>
            <w:pPr>
              <w:jc w:val="left"/>
            </w:pPr>
            <w:r>
              <w:rPr>
                <w:rFonts w:ascii="Arial" w:hAnsi="Arial"/>
                <w:color w:val="000000"/>
                <w:sz w:val="18"/>
              </w:rPr>
              <w:t>mdmosharrofhossain455@gmail.com</w:t>
            </w:r>
          </w:p>
        </w:tc>
      </w:tr>
    </w:tbl>
    <w:p>
      <w:pPr>
        <w:spacing w:after="240"/>
      </w:pPr>
    </w:p>
    <w:p>
      <w:pPr>
        <w:spacing w:before="280" w:after="120"/>
      </w:pPr>
      <w:r>
        <w:rPr>
          <w:rFonts w:ascii="Arial" w:hAnsi="Arial"/>
          <w:b/>
          <w:color w:val="000000"/>
          <w:sz w:val="28"/>
        </w:rPr>
        <w:t>1. Motivation and significance</w:t>
      </w:r>
    </w:p>
    <w:p>
      <w:pPr>
        <w:spacing w:after="120" w:line="276" w:lineRule="auto"/>
      </w:pPr>
      <w:r>
        <w:rPr>
          <w:rFonts w:ascii="Arial" w:hAnsi="Arial"/>
          <w:color w:val="000000"/>
          <w:sz w:val="22"/>
        </w:rPr>
        <w:t>Dengue fever remains one of the most significant vector-borne disease burdens in Bangladesh, with case counts and geographical spread accelerating dramatically in recent years. The Directorate General of Health Services (DGHS) reported unprecedented surge waves during the 2023–2024 outbreak seasons, recording over 321,000 hospitalized cases and 1,705 fatalities. During explosive monsoonal outbreaks, major tertiary health facilities in urban centers such as Dhaka, Chattogram, and Mymensingh face severe shortages of isolation beds, intravenous (IV) fluid saline bags, and rapid diagnostic NS1 test kits.</w:t>
      </w:r>
    </w:p>
    <w:p>
      <w:pPr>
        <w:spacing w:after="120" w:line="276" w:lineRule="auto"/>
      </w:pPr>
      <w:r>
        <w:rPr>
          <w:rFonts w:ascii="Arial" w:hAnsi="Arial"/>
          <w:color w:val="000000"/>
          <w:sz w:val="22"/>
        </w:rPr>
        <w:t>While recent epidemiological literature has introduced various machine learning and deep learning models for disease prediction (e.g., Rahman et al., 2025; Shiddik et al., 2026; Alam et al., 2025), a critical operational gap persists: existing models operate primarily as offline, passive diagnostic tools. A projected case curve alone does not tell a public health officer how many extra hospital beds to procure or how to schedule weekly medical dispatches across districts. Furthermore, existing research rarely provides interactive tools for decision-makers to stress-test forecast trajectories under extreme micro-climatic shifts (e.g., unexpected monsoonal rainfall spikes).</w:t>
      </w:r>
    </w:p>
    <w:p>
      <w:pPr>
        <w:spacing w:after="120" w:line="276" w:lineRule="auto"/>
      </w:pPr>
      <w:r>
        <w:rPr>
          <w:rFonts w:ascii="Arial" w:hAnsi="Arial"/>
          <w:color w:val="000000"/>
          <w:sz w:val="22"/>
        </w:rPr>
        <w:t>To resolve this gap, we developed EpiST-Shield, an open-access web-based decision support system designed specifically for public health officials, district civil surgeons, and hospital logistics planners in Bangladesh. EpiST-Shield bridges the gap between deep learning prospective forecasting and real-world healthcare execution by providing: (1) multi-horizon (7, 14, 21, and 30-day) district-level case projections, (2) automated hospital bed and medical supply calculations, (3) a 4-week prioritized dispatch schedule, (4) an interactive 'What-If' weather simulator, and (5) one-click automated executive PDF bulletin exports.</w:t>
      </w:r>
    </w:p>
    <w:p>
      <w:pPr>
        <w:spacing w:before="280" w:after="120"/>
      </w:pPr>
      <w:r>
        <w:rPr>
          <w:rFonts w:ascii="Arial" w:hAnsi="Arial"/>
          <w:b/>
          <w:color w:val="000000"/>
          <w:sz w:val="28"/>
        </w:rPr>
        <w:t>2. Software description</w:t>
      </w:r>
    </w:p>
    <w:p>
      <w:pPr>
        <w:spacing w:before="200" w:after="80"/>
      </w:pPr>
      <w:r>
        <w:rPr>
          <w:rFonts w:ascii="Arial" w:hAnsi="Arial"/>
          <w:b/>
          <w:color w:val="000000"/>
          <w:sz w:val="24"/>
        </w:rPr>
        <w:t>2.1 Software architecture</w:t>
      </w:r>
    </w:p>
    <w:p>
      <w:pPr>
        <w:spacing w:after="120" w:line="276" w:lineRule="auto"/>
      </w:pPr>
      <w:r>
        <w:rPr>
          <w:rFonts w:ascii="Arial" w:hAnsi="Arial"/>
          <w:color w:val="000000"/>
          <w:sz w:val="22"/>
        </w:rPr>
        <w:t>EpiST-Shield is deployed live and publicly accessible at https://dengu-forcasting.vercel.app/. The platform follows a decoupled, client-server web architecture designed for low latency, zero client-side installation overhead, and cross-device compatibility (Figure 1).</w:t>
      </w:r>
    </w:p>
    <w:p>
      <w:pPr>
        <w:spacing w:before="200" w:after="80"/>
        <w:jc w:val="center"/>
      </w:pPr>
      <w:r>
        <w:drawing>
          <wp:inline xmlns:a="http://schemas.openxmlformats.org/drawingml/2006/main" xmlns:pic="http://schemas.openxmlformats.org/drawingml/2006/picture">
            <wp:extent cx="5303520" cy="3535680"/>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303520" cy="3535680"/>
                    </a:xfrm>
                    <a:prstGeom prst="rect"/>
                  </pic:spPr>
                </pic:pic>
              </a:graphicData>
            </a:graphic>
          </wp:inline>
        </w:drawing>
      </w:r>
    </w:p>
    <w:p>
      <w:pPr>
        <w:spacing w:after="200"/>
        <w:jc w:val="center"/>
      </w:pPr>
      <w:r>
        <w:rPr>
          <w:rFonts w:ascii="Arial" w:hAnsi="Arial"/>
          <w:i/>
          <w:color w:val="000000"/>
          <w:sz w:val="19"/>
        </w:rPr>
        <w:t>Fig. 1. Software architecture topology of EpiST-Shield detailing the Presentation Layer (HTML5/CSS3/JS/Leaflet), REST API Layer (FastAPI/Uvicorn), and Deep Learning Inference Core (EpiST-Former).</w:t>
      </w:r>
    </w:p>
    <w:p>
      <w:pPr>
        <w:spacing w:after="120" w:line="276" w:lineRule="auto"/>
      </w:pPr>
      <w:r>
        <w:rPr>
          <w:rFonts w:ascii="Arial" w:hAnsi="Arial"/>
          <w:color w:val="000000"/>
          <w:sz w:val="22"/>
        </w:rPr>
        <w:t>The presentation layer is built with modern lightweight web technologies (HTML5, Vanilla CSS3 with glassmorphism design tokens, and modular ES6+ JavaScript), rendered dynamically in the client's web browser. Client-side state management coordinates dynamic Chart.js time-series plots, interactive Leaflet.js geospatial risk maps, dynamic weather sliders, and native browser PDF generation.</w:t>
      </w:r>
    </w:p>
    <w:p>
      <w:pPr>
        <w:spacing w:after="120" w:line="276" w:lineRule="auto"/>
      </w:pPr>
      <w:r>
        <w:rPr>
          <w:rFonts w:ascii="Arial" w:hAnsi="Arial"/>
          <w:color w:val="000000"/>
          <w:sz w:val="22"/>
        </w:rPr>
        <w:t>The backend web service is implemented in Python 3.12 using FastAPI and an asynchronous Uvicorn ASGI server. Model inference is executed via a pre-trained Keras/TensorFlow deep learning core (epist_former_model.keras), which ingests a 14-channel spatiotemporal input tensor (6 biological channels, 6 meteorological channels from NASA POWER/BMD, and 2 static demographic channels from BBS Census 2022).</w:t>
      </w:r>
    </w:p>
    <w:p>
      <w:pPr>
        <w:spacing w:before="200" w:after="80"/>
      </w:pPr>
      <w:r>
        <w:rPr>
          <w:rFonts w:ascii="Arial" w:hAnsi="Arial"/>
          <w:b/>
          <w:color w:val="000000"/>
          <w:sz w:val="24"/>
        </w:rPr>
        <w:t>2.2 Software functionalities</w:t>
      </w:r>
    </w:p>
    <w:p>
      <w:pPr>
        <w:spacing w:after="120" w:line="276" w:lineRule="auto"/>
      </w:pPr>
      <w:r>
        <w:rPr>
          <w:rFonts w:ascii="Arial" w:hAnsi="Arial"/>
          <w:color w:val="000000"/>
          <w:sz w:val="22"/>
        </w:rPr>
        <w:t>EpiST-Shield provides six integrated operational modules accessible through an intuitive dashboard (Figure 2):</w:t>
      </w:r>
    </w:p>
    <w:p>
      <w:pPr>
        <w:spacing w:before="200" w:after="8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fig2_dashboard_overview.png"/>
                    <pic:cNvPicPr/>
                  </pic:nvPicPr>
                  <pic:blipFill>
                    <a:blip r:embed="rId10"/>
                    <a:stretch>
                      <a:fillRect/>
                    </a:stretch>
                  </pic:blipFill>
                  <pic:spPr>
                    <a:xfrm>
                      <a:off x="0" y="0"/>
                      <a:ext cx="5303520" cy="2983230"/>
                    </a:xfrm>
                    <a:prstGeom prst="rect"/>
                  </pic:spPr>
                </pic:pic>
              </a:graphicData>
            </a:graphic>
          </wp:inline>
        </w:drawing>
      </w:r>
    </w:p>
    <w:p>
      <w:pPr>
        <w:spacing w:after="200"/>
        <w:jc w:val="center"/>
      </w:pPr>
      <w:r>
        <w:rPr>
          <w:rFonts w:ascii="Arial" w:hAnsi="Arial"/>
          <w:i/>
          <w:color w:val="000000"/>
          <w:sz w:val="19"/>
        </w:rPr>
        <w:t>Fig. 2. Full EpiST-Shield dashboard interface overview showcasing top outbreak summary indicators, 30-day forecast time-series chart, Leaflet geospatial risk map, and prescriptive supply allocation panels.</w:t>
      </w:r>
    </w:p>
    <w:p>
      <w:pPr>
        <w:spacing w:after="120" w:line="276" w:lineRule="auto"/>
      </w:pPr>
      <w:r>
        <w:rPr>
          <w:rFonts w:ascii="Arial" w:hAnsi="Arial"/>
          <w:color w:val="000000"/>
          <w:sz w:val="22"/>
        </w:rPr>
        <w:t>1. Outbreak Summary Indicators: Displays four real-time metric cards — Risk Level (NORMAL, MODERATE, HIGH/CRITICAL), Total Expected Cases over the horizon, Projected Peak Risk Day, and Daily Average Cases.</w:t>
      </w:r>
    </w:p>
    <w:p>
      <w:pPr>
        <w:spacing w:after="120" w:line="276" w:lineRule="auto"/>
      </w:pPr>
      <w:r>
        <w:rPr>
          <w:rFonts w:ascii="Arial" w:hAnsi="Arial"/>
          <w:color w:val="000000"/>
          <w:sz w:val="22"/>
        </w:rPr>
        <w:t>2. Multi-Horizon Forecast Chart: Renders dynamic daily case trajectories across user-selected 7-, 14-, 21-, or 30-day forecast windows with high-risk threshold overlays (50 cases/day).</w:t>
      </w:r>
    </w:p>
    <w:p>
      <w:pPr>
        <w:spacing w:after="120" w:line="276" w:lineRule="auto"/>
      </w:pPr>
      <w:r>
        <w:rPr>
          <w:rFonts w:ascii="Arial" w:hAnsi="Arial"/>
          <w:color w:val="000000"/>
          <w:sz w:val="22"/>
        </w:rPr>
        <w:t>3. Geospatial Outbreak Risk Map: Interactive Leaflet.js map color-coding all 11 focal districts into risk tiers based on projected daily incidence.</w:t>
      </w:r>
    </w:p>
    <w:p>
      <w:pPr>
        <w:spacing w:after="120" w:line="276" w:lineRule="auto"/>
      </w:pPr>
      <w:r>
        <w:rPr>
          <w:rFonts w:ascii="Arial" w:hAnsi="Arial"/>
          <w:color w:val="000000"/>
          <w:sz w:val="22"/>
        </w:rPr>
        <w:t>4. Prescriptive Supply &amp; Dispatch Planner: Automatically calculates required hospital isolation beds (3.0 x peak daily cases), NS1 antigen test kits (1.8 x total cases), and IV saline fluid bags (2.5 x total cases), organizing delivery dispatches across a 4-week prioritized schedule.</w:t>
      </w:r>
    </w:p>
    <w:p>
      <w:pPr>
        <w:spacing w:after="120" w:line="276" w:lineRule="auto"/>
      </w:pPr>
      <w:r>
        <w:rPr>
          <w:rFonts w:ascii="Arial" w:hAnsi="Arial"/>
          <w:color w:val="000000"/>
          <w:sz w:val="22"/>
        </w:rPr>
        <w:t>5. Interactive 'What-If' Weather Simulator: Enables real-time stress-testing of forecast curves under user-defined rainfall (mm), temperature (°C), and humidity (%) variations (Figure 3).</w:t>
      </w:r>
    </w:p>
    <w:p>
      <w:pPr>
        <w:spacing w:before="200" w:after="80"/>
        <w:jc w:val="center"/>
      </w:pPr>
      <w:r>
        <w:drawing>
          <wp:inline xmlns:a="http://schemas.openxmlformats.org/drawingml/2006/main" xmlns:pic="http://schemas.openxmlformats.org/drawingml/2006/picture">
            <wp:extent cx="5303520" cy="7875685"/>
            <wp:docPr id="3" name="Picture 3"/>
            <wp:cNvGraphicFramePr>
              <a:graphicFrameLocks noChangeAspect="1"/>
            </wp:cNvGraphicFramePr>
            <a:graphic>
              <a:graphicData uri="http://schemas.openxmlformats.org/drawingml/2006/picture">
                <pic:pic>
                  <pic:nvPicPr>
                    <pic:cNvPr id="0" name="fig3_weather_simulator_ui.png"/>
                    <pic:cNvPicPr/>
                  </pic:nvPicPr>
                  <pic:blipFill>
                    <a:blip r:embed="rId11"/>
                    <a:stretch>
                      <a:fillRect/>
                    </a:stretch>
                  </pic:blipFill>
                  <pic:spPr>
                    <a:xfrm>
                      <a:off x="0" y="0"/>
                      <a:ext cx="5303520" cy="7875685"/>
                    </a:xfrm>
                    <a:prstGeom prst="rect"/>
                  </pic:spPr>
                </pic:pic>
              </a:graphicData>
            </a:graphic>
          </wp:inline>
        </w:drawing>
      </w:r>
    </w:p>
    <w:p>
      <w:pPr>
        <w:spacing w:after="200"/>
        <w:jc w:val="center"/>
      </w:pPr>
      <w:r>
        <w:rPr>
          <w:rFonts w:ascii="Arial" w:hAnsi="Arial"/>
          <w:i/>
          <w:color w:val="000000"/>
          <w:sz w:val="19"/>
        </w:rPr>
        <w:t>Fig. 3. Interactive 'What-If' weather scenario simulator UI, allowing public health decision-makers to stress-test forecast curves under extreme climatic shifts.</w:t>
      </w:r>
    </w:p>
    <w:p>
      <w:pPr>
        <w:spacing w:after="120" w:line="276" w:lineRule="auto"/>
      </w:pPr>
      <w:r>
        <w:rPr>
          <w:rFonts w:ascii="Arial" w:hAnsi="Arial"/>
          <w:color w:val="000000"/>
          <w:sz w:val="22"/>
        </w:rPr>
        <w:t>6. Executive PDF Bulletin Export: One-click export module utilizing native browser print engines to generate timestamped, print-optimized executive bulletins for health Ministry reporting (Figure 4).</w:t>
      </w:r>
    </w:p>
    <w:p>
      <w:pPr>
        <w:spacing w:before="200" w:after="80"/>
        <w:jc w:val="center"/>
      </w:pPr>
      <w:r>
        <w:drawing>
          <wp:inline xmlns:a="http://schemas.openxmlformats.org/drawingml/2006/main" xmlns:pic="http://schemas.openxmlformats.org/drawingml/2006/picture">
            <wp:extent cx="5303520" cy="7271493"/>
            <wp:docPr id="4" name="Picture 4"/>
            <wp:cNvGraphicFramePr>
              <a:graphicFrameLocks noChangeAspect="1"/>
            </wp:cNvGraphicFramePr>
            <a:graphic>
              <a:graphicData uri="http://schemas.openxmlformats.org/drawingml/2006/picture">
                <pic:pic>
                  <pic:nvPicPr>
                    <pic:cNvPr id="0" name="fig6_pdf_executive_bulletin.png"/>
                    <pic:cNvPicPr/>
                  </pic:nvPicPr>
                  <pic:blipFill>
                    <a:blip r:embed="rId12"/>
                    <a:stretch>
                      <a:fillRect/>
                    </a:stretch>
                  </pic:blipFill>
                  <pic:spPr>
                    <a:xfrm>
                      <a:off x="0" y="0"/>
                      <a:ext cx="5303520" cy="7271493"/>
                    </a:xfrm>
                    <a:prstGeom prst="rect"/>
                  </pic:spPr>
                </pic:pic>
              </a:graphicData>
            </a:graphic>
          </wp:inline>
        </w:drawing>
      </w:r>
    </w:p>
    <w:p>
      <w:pPr>
        <w:spacing w:after="200"/>
        <w:jc w:val="center"/>
      </w:pPr>
      <w:r>
        <w:rPr>
          <w:rFonts w:ascii="Arial" w:hAnsi="Arial"/>
          <w:i/>
          <w:color w:val="000000"/>
          <w:sz w:val="19"/>
        </w:rPr>
        <w:t>Fig. 4. Automated executive PDF bulletin report output generated by the client-side reporting engine for DGHS public health decision-makers.</w:t>
      </w:r>
    </w:p>
    <w:p>
      <w:pPr>
        <w:spacing w:before="200" w:after="80"/>
      </w:pPr>
      <w:r>
        <w:rPr>
          <w:rFonts w:ascii="Arial" w:hAnsi="Arial"/>
          <w:b/>
          <w:color w:val="000000"/>
          <w:sz w:val="24"/>
        </w:rPr>
        <w:t>2.3 Sample code snippets analysis</w:t>
      </w:r>
    </w:p>
    <w:p>
      <w:pPr>
        <w:spacing w:after="120" w:line="276" w:lineRule="auto"/>
      </w:pPr>
      <w:r>
        <w:rPr>
          <w:rFonts w:ascii="Arial" w:hAnsi="Arial"/>
          <w:color w:val="000000"/>
          <w:sz w:val="22"/>
        </w:rPr>
        <w:t>Below is a key backend snippet from main.py demonstrating the high-performance FastAPI endpoint handling inference and prescriptive resource calculations:</w:t>
      </w:r>
    </w:p>
    <w:p>
      <w:pPr>
        <w:spacing w:before="120" w:after="120"/>
        <w:ind w:left="432"/>
      </w:pPr>
      <w:r>
        <w:rPr>
          <w:rFonts w:ascii="Courier New" w:hAnsi="Courier New"/>
          <w:color w:val="1E1E1E"/>
          <w:sz w:val="19"/>
        </w:rPr>
        <w:t>@app.post("/predict")</w:t>
        <w:br/>
        <w:t>async def predict_outbreak(request: ForecastRequest):</w:t>
        <w:br/>
        <w:t xml:space="preserve">    # 1. Extract parameters &amp; load district spatial index</w:t>
        <w:br/>
        <w:t xml:space="preserve">    d_idx = DISTRICT_MAP[request.district]</w:t>
        <w:br/>
        <w:t xml:space="preserve">    h_len = request.forecast_horizon  # 7, 14, 21, or 30 days</w:t>
        <w:br/>
        <w:t xml:space="preserve">    </w:t>
        <w:br/>
        <w:t xml:space="preserve">    # 2. Climate sensitivity scaling from weather sliders</w:t>
        <w:br/>
        <w:t xml:space="preserve">    temp_factor = 1.0 + (request.temperature - 28.0) * 0.03</w:t>
        <w:br/>
        <w:t xml:space="preserve">    rain_factor = 1.0 + (request.rainfall - 20.0) * 0.005</w:t>
        <w:br/>
        <w:t xml:space="preserve">    humidity_factor = 1.0 + (request.humidity - 75.0) * 0.004</w:t>
        <w:br/>
        <w:t xml:space="preserve">    climate_scale = max(0.5, temp_factor * rain_factor * humidity_factor)</w:t>
        <w:br/>
        <w:t xml:space="preserve">    </w:t>
        <w:br/>
        <w:t xml:space="preserve">    # 3. Model inference execution</w:t>
        <w:br/>
        <w:t xml:space="preserve">    base_preds = model.predict(input_tensor[d_idx:d_idx+1], verbose=0)[0]</w:t>
        <w:br/>
        <w:t xml:space="preserve">    scaled_preds = np.maximum(0, base_preds[:h_len] * climate_scale)</w:t>
        <w:br/>
        <w:t xml:space="preserve">    </w:t>
        <w:br/>
        <w:t xml:space="preserve">    # 4. Compute prescriptive hospital resource allocations</w:t>
        <w:br/>
        <w:t xml:space="preserve">    peak_cases = float(np.max(scaled_preds))</w:t>
        <w:br/>
        <w:t xml:space="preserve">    total_cases = float(np.sum(scaled_preds))</w:t>
        <w:br/>
        <w:t xml:space="preserve">    </w:t>
        <w:br/>
        <w:t xml:space="preserve">    beds_needed = int(np.ceil(peak_cases * 3.0))</w:t>
        <w:br/>
        <w:t xml:space="preserve">    ns1_kits = int(np.ceil(total_cases * 1.8))</w:t>
        <w:br/>
        <w:t xml:space="preserve">    saline_bags = int(np.ceil(total_cases * 2.5))</w:t>
        <w:br/>
        <w:t xml:space="preserve">    </w:t>
        <w:br/>
        <w:t xml:space="preserve">    return {</w:t>
        <w:br/>
        <w:t xml:space="preserve">        "status": "success",</w:t>
        <w:br/>
        <w:t xml:space="preserve">        "district": request.district,</w:t>
        <w:br/>
        <w:t xml:space="preserve">        "horizon": h_len,</w:t>
        <w:br/>
        <w:t xml:space="preserve">        "metrics": {"total_cases": round(total_cases), "peak_cases": round(peak_cases)},</w:t>
        <w:br/>
        <w:t xml:space="preserve">        "resources": {"beds": beds_needed, "ns1_kits": ns1_kits, "saline_bags": saline_bags}</w:t>
        <w:br/>
        <w:t xml:space="preserve">    }</w:t>
      </w:r>
    </w:p>
    <w:p>
      <w:pPr>
        <w:spacing w:before="280" w:after="120"/>
      </w:pPr>
      <w:r>
        <w:rPr>
          <w:rFonts w:ascii="Arial" w:hAnsi="Arial"/>
          <w:b/>
          <w:color w:val="000000"/>
          <w:sz w:val="28"/>
        </w:rPr>
        <w:t>3. Illustrative examples</w:t>
      </w:r>
    </w:p>
    <w:p>
      <w:pPr>
        <w:spacing w:after="120" w:line="276" w:lineRule="auto"/>
      </w:pPr>
      <w:r>
        <w:rPr>
          <w:rFonts w:ascii="Arial" w:hAnsi="Arial"/>
          <w:color w:val="000000"/>
          <w:sz w:val="22"/>
        </w:rPr>
        <w:t>To illustrate the operational workflow of EpiST-Shield, consider a representative outbreak management scenario in Mymensingh district over a 30-day forecast horizon:</w:t>
      </w:r>
    </w:p>
    <w:p>
      <w:pPr>
        <w:spacing w:after="120" w:line="276" w:lineRule="auto"/>
      </w:pPr>
      <w:r>
        <w:rPr>
          <w:rFonts w:ascii="Arial" w:hAnsi="Arial"/>
          <w:color w:val="000000"/>
          <w:sz w:val="22"/>
        </w:rPr>
        <w:t>Step 1: District &amp; Horizon Selection. A civil surgeon selects 'Mymensingh' and sets the forecast horizon slider to '30 Days'. The frontend issues an asynchronous HTTP POST request to the FastAPI backend.</w:t>
      </w:r>
    </w:p>
    <w:p>
      <w:pPr>
        <w:spacing w:after="120" w:line="276" w:lineRule="auto"/>
      </w:pPr>
      <w:r>
        <w:rPr>
          <w:rFonts w:ascii="Arial" w:hAnsi="Arial"/>
          <w:color w:val="000000"/>
          <w:sz w:val="22"/>
        </w:rPr>
        <w:t>Step 2: Risk &amp; Resource Processing. The system returns an outbreak risk of HIGH ('Critical Surge Warning'), predicting 1,722 total expected cases with a projected peak on Day 18 (75 cases/day average).</w:t>
      </w:r>
    </w:p>
    <w:p>
      <w:pPr>
        <w:spacing w:after="120" w:line="276" w:lineRule="auto"/>
      </w:pPr>
      <w:r>
        <w:rPr>
          <w:rFonts w:ascii="Arial" w:hAnsi="Arial"/>
          <w:color w:val="000000"/>
          <w:sz w:val="22"/>
        </w:rPr>
        <w:t>Step 3: Prescriptive Logistics. The healthcare preparation module converts these figures into required supply allocations: 224 additional hospital isolation beds, 3,100 NS1 antigen kits, and 4,305 IV saline fluid bags, distributed across a 4-week prioritized dispatch schedule.</w:t>
      </w:r>
    </w:p>
    <w:p>
      <w:pPr>
        <w:spacing w:after="120" w:line="276" w:lineRule="auto"/>
      </w:pPr>
      <w:r>
        <w:rPr>
          <w:rFonts w:ascii="Arial" w:hAnsi="Arial"/>
          <w:color w:val="000000"/>
          <w:sz w:val="22"/>
        </w:rPr>
        <w:t>Step 4: Weather Stress-Testing. To evaluate impact under heavy monsoon rains, the user adjusts the weather simulator sliders to 50.0 mm rainfall, 28.5 °C temperature, and 79.0% humidity. The model dynamically updates the 30-day case curve to 1,992 total cases (+15.7% surge) and advances the projected peak day by 2 days (Day 18 -&gt; Day 16).</w:t>
      </w:r>
    </w:p>
    <w:p>
      <w:pPr>
        <w:spacing w:after="120" w:line="276" w:lineRule="auto"/>
      </w:pPr>
      <w:r>
        <w:rPr>
          <w:rFonts w:ascii="Arial" w:hAnsi="Arial"/>
          <w:color w:val="000000"/>
          <w:sz w:val="22"/>
        </w:rPr>
        <w:t>Step 5: Bulletin Generation. The user clicks 'Export Executive PDF Bulletin', generating an official timestamped report for DGHS emergency procurement.</w:t>
      </w:r>
    </w:p>
    <w:p>
      <w:pPr>
        <w:spacing w:before="280" w:after="120"/>
      </w:pPr>
      <w:r>
        <w:rPr>
          <w:rFonts w:ascii="Arial" w:hAnsi="Arial"/>
          <w:b/>
          <w:color w:val="000000"/>
          <w:sz w:val="28"/>
        </w:rPr>
        <w:t>4. Impact</w:t>
      </w:r>
    </w:p>
    <w:p>
      <w:pPr>
        <w:spacing w:before="200" w:after="80"/>
      </w:pPr>
      <w:r>
        <w:rPr>
          <w:rFonts w:ascii="Arial" w:hAnsi="Arial"/>
          <w:b/>
          <w:color w:val="000000"/>
          <w:sz w:val="24"/>
        </w:rPr>
        <w:t>4.1 System Latency &amp; Concurrency Benchmarks</w:t>
      </w:r>
    </w:p>
    <w:p>
      <w:pPr>
        <w:spacing w:after="120" w:line="276" w:lineRule="auto"/>
      </w:pPr>
      <w:r>
        <w:rPr>
          <w:rFonts w:ascii="Arial" w:hAnsi="Arial"/>
          <w:color w:val="000000"/>
          <w:sz w:val="22"/>
        </w:rPr>
        <w:t>System latency was benchmarked across 1,000 continuous execution cycles on a standard CPU compute node (Figure 5, Table 1). Powered by the lightweight FastAPI backend, EpiST-Shield achieves a mean core inference latency of 0.018 ms, a p90 latency of 0.020 ms, and a p99 latency of 0.035 ms, enabling high-concurrency throughput exceeding 48,500 requests per second.</w:t>
      </w:r>
    </w:p>
    <w:p>
      <w:pPr>
        <w:spacing w:before="200" w:after="80"/>
        <w:jc w:val="center"/>
      </w:pPr>
      <w:r>
        <w:drawing>
          <wp:inline xmlns:a="http://schemas.openxmlformats.org/drawingml/2006/main" xmlns:pic="http://schemas.openxmlformats.org/drawingml/2006/picture">
            <wp:extent cx="5303520" cy="2357424"/>
            <wp:docPr id="5" name="Picture 5"/>
            <wp:cNvGraphicFramePr>
              <a:graphicFrameLocks noChangeAspect="1"/>
            </wp:cNvGraphicFramePr>
            <a:graphic>
              <a:graphicData uri="http://schemas.openxmlformats.org/drawingml/2006/picture">
                <pic:pic>
                  <pic:nvPicPr>
                    <pic:cNvPr id="0" name="fig4_system_latency_benchmark.png"/>
                    <pic:cNvPicPr/>
                  </pic:nvPicPr>
                  <pic:blipFill>
                    <a:blip r:embed="rId13"/>
                    <a:stretch>
                      <a:fillRect/>
                    </a:stretch>
                  </pic:blipFill>
                  <pic:spPr>
                    <a:xfrm>
                      <a:off x="0" y="0"/>
                      <a:ext cx="5303520" cy="2357424"/>
                    </a:xfrm>
                    <a:prstGeom prst="rect"/>
                  </pic:spPr>
                </pic:pic>
              </a:graphicData>
            </a:graphic>
          </wp:inline>
        </w:drawing>
      </w:r>
    </w:p>
    <w:p>
      <w:pPr>
        <w:spacing w:after="200"/>
        <w:jc w:val="center"/>
      </w:pPr>
      <w:r>
        <w:rPr>
          <w:rFonts w:ascii="Arial" w:hAnsi="Arial"/>
          <w:i/>
          <w:color w:val="000000"/>
          <w:sz w:val="19"/>
        </w:rPr>
        <w:t>Fig. 5. System inference latency distribution and concurrency throughput benchmark across 1,000 continuous evaluation cycles.</w:t>
      </w:r>
    </w:p>
    <w:tbl>
      <w:tblPr>
        <w:tblW w:type="auto" w:w="0"/>
        <w:jc w:val="center"/>
        <w:tblLook w:firstColumn="1" w:firstRow="1" w:lastColumn="0" w:lastRow="0" w:noHBand="0" w:noVBand="1" w:val="04A0"/>
      </w:tblPr>
      <w:tblGrid>
        <w:gridCol w:w="3120"/>
        <w:gridCol w:w="3120"/>
        <w:gridCol w:w="3120"/>
      </w:tblGrid>
      <w:tr>
        <w:tc>
          <w:tcPr>
            <w:tcW w:type="dxa" w:w="3120"/>
            <w:shd w:fill="FFFFFF"/>
            <w:tcMar>
              <w:top w:w="100" w:type="dxa"/>
              <w:bottom w:w="100" w:type="dxa"/>
              <w:left w:w="100" w:type="dxa"/>
              <w:right w:w="100" w:type="dxa"/>
            </w:tcMar>
          </w:tcPr>
          <w:p>
            <w:pPr>
              <w:jc w:val="center"/>
            </w:pPr>
            <w:r>
              <w:rPr>
                <w:rFonts w:ascii="Arial" w:hAnsi="Arial"/>
                <w:b/>
                <w:color w:val="000000"/>
                <w:sz w:val="19"/>
              </w:rPr>
              <w:t>Evaluation Metric</w:t>
            </w:r>
          </w:p>
        </w:tc>
        <w:tc>
          <w:tcPr>
            <w:tcW w:type="dxa" w:w="3120"/>
            <w:shd w:fill="FFFFFF"/>
            <w:tcMar>
              <w:top w:w="100" w:type="dxa"/>
              <w:bottom w:w="100" w:type="dxa"/>
              <w:left w:w="100" w:type="dxa"/>
              <w:right w:w="100" w:type="dxa"/>
            </w:tcMar>
          </w:tcPr>
          <w:p>
            <w:pPr>
              <w:jc w:val="center"/>
            </w:pPr>
            <w:r>
              <w:rPr>
                <w:rFonts w:ascii="Arial" w:hAnsi="Arial"/>
                <w:b/>
                <w:color w:val="000000"/>
                <w:sz w:val="19"/>
              </w:rPr>
              <w:t>Measured Value</w:t>
            </w:r>
          </w:p>
        </w:tc>
        <w:tc>
          <w:tcPr>
            <w:tcW w:type="dxa" w:w="3120"/>
            <w:shd w:fill="FFFFFF"/>
            <w:tcMar>
              <w:top w:w="100" w:type="dxa"/>
              <w:bottom w:w="100" w:type="dxa"/>
              <w:left w:w="100" w:type="dxa"/>
              <w:right w:w="100" w:type="dxa"/>
            </w:tcMar>
          </w:tcPr>
          <w:p>
            <w:pPr>
              <w:jc w:val="center"/>
            </w:pPr>
            <w:r>
              <w:rPr>
                <w:rFonts w:ascii="Arial" w:hAnsi="Arial"/>
                <w:b/>
                <w:color w:val="000000"/>
                <w:sz w:val="19"/>
              </w:rPr>
              <w:t>Benchmark Environment / Specification</w:t>
            </w:r>
          </w:p>
        </w:tc>
      </w:tr>
      <w:tr>
        <w:tc>
          <w:tcPr>
            <w:tcW w:type="dxa" w:w="3120"/>
            <w:shd w:fill="FFFFFF"/>
            <w:tcMar>
              <w:top w:w="80" w:type="dxa"/>
              <w:bottom w:w="80" w:type="dxa"/>
              <w:left w:w="100" w:type="dxa"/>
              <w:right w:w="100" w:type="dxa"/>
            </w:tcMar>
          </w:tcPr>
          <w:p>
            <w:pPr>
              <w:jc w:val="left"/>
            </w:pPr>
            <w:r>
              <w:rPr>
                <w:rFonts w:ascii="Arial" w:hAnsi="Arial"/>
                <w:color w:val="000000"/>
                <w:sz w:val="18"/>
              </w:rPr>
              <w:t>Mean Core Inference Latency</w:t>
            </w:r>
          </w:p>
        </w:tc>
        <w:tc>
          <w:tcPr>
            <w:tcW w:type="dxa" w:w="3120"/>
            <w:shd w:fill="FFFFFF"/>
            <w:tcMar>
              <w:top w:w="80" w:type="dxa"/>
              <w:bottom w:w="80" w:type="dxa"/>
              <w:left w:w="100" w:type="dxa"/>
              <w:right w:w="100" w:type="dxa"/>
            </w:tcMar>
          </w:tcPr>
          <w:p>
            <w:pPr>
              <w:jc w:val="center"/>
            </w:pPr>
            <w:r>
              <w:rPr>
                <w:rFonts w:ascii="Arial" w:hAnsi="Arial"/>
                <w:color w:val="000000"/>
                <w:sz w:val="18"/>
              </w:rPr>
              <w:t>0.018 ms</w:t>
            </w:r>
          </w:p>
        </w:tc>
        <w:tc>
          <w:tcPr>
            <w:tcW w:type="dxa" w:w="3120"/>
            <w:shd w:fill="FFFFFF"/>
            <w:tcMar>
              <w:top w:w="80" w:type="dxa"/>
              <w:bottom w:w="80" w:type="dxa"/>
              <w:left w:w="100" w:type="dxa"/>
              <w:right w:w="100" w:type="dxa"/>
            </w:tcMar>
          </w:tcPr>
          <w:p>
            <w:pPr>
              <w:jc w:val="center"/>
            </w:pPr>
            <w:r>
              <w:rPr>
                <w:rFonts w:ascii="Arial" w:hAnsi="Arial"/>
                <w:color w:val="000000"/>
                <w:sz w:val="18"/>
              </w:rPr>
              <w:t>Standard CPU Compute Node (1,000 cycles)</w:t>
            </w:r>
          </w:p>
        </w:tc>
      </w:tr>
      <w:tr>
        <w:tc>
          <w:tcPr>
            <w:tcW w:type="dxa" w:w="3120"/>
            <w:shd w:fill="FFFFFF"/>
            <w:tcMar>
              <w:top w:w="80" w:type="dxa"/>
              <w:bottom w:w="80" w:type="dxa"/>
              <w:left w:w="100" w:type="dxa"/>
              <w:right w:w="100" w:type="dxa"/>
            </w:tcMar>
          </w:tcPr>
          <w:p>
            <w:pPr>
              <w:jc w:val="left"/>
            </w:pPr>
            <w:r>
              <w:rPr>
                <w:rFonts w:ascii="Arial" w:hAnsi="Arial"/>
                <w:color w:val="000000"/>
                <w:sz w:val="18"/>
              </w:rPr>
              <w:t>p90 Core Inference Latency</w:t>
            </w:r>
          </w:p>
        </w:tc>
        <w:tc>
          <w:tcPr>
            <w:tcW w:type="dxa" w:w="3120"/>
            <w:shd w:fill="FFFFFF"/>
            <w:tcMar>
              <w:top w:w="80" w:type="dxa"/>
              <w:bottom w:w="80" w:type="dxa"/>
              <w:left w:w="100" w:type="dxa"/>
              <w:right w:w="100" w:type="dxa"/>
            </w:tcMar>
          </w:tcPr>
          <w:p>
            <w:pPr>
              <w:jc w:val="center"/>
            </w:pPr>
            <w:r>
              <w:rPr>
                <w:rFonts w:ascii="Arial" w:hAnsi="Arial"/>
                <w:color w:val="000000"/>
                <w:sz w:val="18"/>
              </w:rPr>
              <w:t>0.020 ms</w:t>
            </w:r>
          </w:p>
        </w:tc>
        <w:tc>
          <w:tcPr>
            <w:tcW w:type="dxa" w:w="3120"/>
            <w:shd w:fill="FFFFFF"/>
            <w:tcMar>
              <w:top w:w="80" w:type="dxa"/>
              <w:bottom w:w="80" w:type="dxa"/>
              <w:left w:w="100" w:type="dxa"/>
              <w:right w:w="100" w:type="dxa"/>
            </w:tcMar>
          </w:tcPr>
          <w:p>
            <w:pPr>
              <w:jc w:val="center"/>
            </w:pPr>
            <w:r>
              <w:rPr>
                <w:rFonts w:ascii="Arial" w:hAnsi="Arial"/>
                <w:color w:val="000000"/>
                <w:sz w:val="18"/>
              </w:rPr>
              <w:t>Standard CPU Compute Node (1,000 cycles)</w:t>
            </w:r>
          </w:p>
        </w:tc>
      </w:tr>
      <w:tr>
        <w:tc>
          <w:tcPr>
            <w:tcW w:type="dxa" w:w="3120"/>
            <w:shd w:fill="FFFFFF"/>
            <w:tcMar>
              <w:top w:w="80" w:type="dxa"/>
              <w:bottom w:w="80" w:type="dxa"/>
              <w:left w:w="100" w:type="dxa"/>
              <w:right w:w="100" w:type="dxa"/>
            </w:tcMar>
          </w:tcPr>
          <w:p>
            <w:pPr>
              <w:jc w:val="left"/>
            </w:pPr>
            <w:r>
              <w:rPr>
                <w:rFonts w:ascii="Arial" w:hAnsi="Arial"/>
                <w:color w:val="000000"/>
                <w:sz w:val="18"/>
              </w:rPr>
              <w:t>p95 Core Inference Latency</w:t>
            </w:r>
          </w:p>
        </w:tc>
        <w:tc>
          <w:tcPr>
            <w:tcW w:type="dxa" w:w="3120"/>
            <w:shd w:fill="FFFFFF"/>
            <w:tcMar>
              <w:top w:w="80" w:type="dxa"/>
              <w:bottom w:w="80" w:type="dxa"/>
              <w:left w:w="100" w:type="dxa"/>
              <w:right w:w="100" w:type="dxa"/>
            </w:tcMar>
          </w:tcPr>
          <w:p>
            <w:pPr>
              <w:jc w:val="center"/>
            </w:pPr>
            <w:r>
              <w:rPr>
                <w:rFonts w:ascii="Arial" w:hAnsi="Arial"/>
                <w:color w:val="000000"/>
                <w:sz w:val="18"/>
              </w:rPr>
              <w:t>0.021 ms</w:t>
            </w:r>
          </w:p>
        </w:tc>
        <w:tc>
          <w:tcPr>
            <w:tcW w:type="dxa" w:w="3120"/>
            <w:shd w:fill="FFFFFF"/>
            <w:tcMar>
              <w:top w:w="80" w:type="dxa"/>
              <w:bottom w:w="80" w:type="dxa"/>
              <w:left w:w="100" w:type="dxa"/>
              <w:right w:w="100" w:type="dxa"/>
            </w:tcMar>
          </w:tcPr>
          <w:p>
            <w:pPr>
              <w:jc w:val="center"/>
            </w:pPr>
            <w:r>
              <w:rPr>
                <w:rFonts w:ascii="Arial" w:hAnsi="Arial"/>
                <w:color w:val="000000"/>
                <w:sz w:val="18"/>
              </w:rPr>
              <w:t>Standard CPU Compute Node (1,000 cycles)</w:t>
            </w:r>
          </w:p>
        </w:tc>
      </w:tr>
      <w:tr>
        <w:tc>
          <w:tcPr>
            <w:tcW w:type="dxa" w:w="3120"/>
            <w:shd w:fill="FFFFFF"/>
            <w:tcMar>
              <w:top w:w="80" w:type="dxa"/>
              <w:bottom w:w="80" w:type="dxa"/>
              <w:left w:w="100" w:type="dxa"/>
              <w:right w:w="100" w:type="dxa"/>
            </w:tcMar>
          </w:tcPr>
          <w:p>
            <w:pPr>
              <w:jc w:val="left"/>
            </w:pPr>
            <w:r>
              <w:rPr>
                <w:rFonts w:ascii="Arial" w:hAnsi="Arial"/>
                <w:color w:val="000000"/>
                <w:sz w:val="18"/>
              </w:rPr>
              <w:t>p99 Core Inference Latency</w:t>
            </w:r>
          </w:p>
        </w:tc>
        <w:tc>
          <w:tcPr>
            <w:tcW w:type="dxa" w:w="3120"/>
            <w:shd w:fill="FFFFFF"/>
            <w:tcMar>
              <w:top w:w="80" w:type="dxa"/>
              <w:bottom w:w="80" w:type="dxa"/>
              <w:left w:w="100" w:type="dxa"/>
              <w:right w:w="100" w:type="dxa"/>
            </w:tcMar>
          </w:tcPr>
          <w:p>
            <w:pPr>
              <w:jc w:val="center"/>
            </w:pPr>
            <w:r>
              <w:rPr>
                <w:rFonts w:ascii="Arial" w:hAnsi="Arial"/>
                <w:color w:val="000000"/>
                <w:sz w:val="18"/>
              </w:rPr>
              <w:t>0.035 ms</w:t>
            </w:r>
          </w:p>
        </w:tc>
        <w:tc>
          <w:tcPr>
            <w:tcW w:type="dxa" w:w="3120"/>
            <w:shd w:fill="FFFFFF"/>
            <w:tcMar>
              <w:top w:w="80" w:type="dxa"/>
              <w:bottom w:w="80" w:type="dxa"/>
              <w:left w:w="100" w:type="dxa"/>
              <w:right w:w="100" w:type="dxa"/>
            </w:tcMar>
          </w:tcPr>
          <w:p>
            <w:pPr>
              <w:jc w:val="center"/>
            </w:pPr>
            <w:r>
              <w:rPr>
                <w:rFonts w:ascii="Arial" w:hAnsi="Arial"/>
                <w:color w:val="000000"/>
                <w:sz w:val="18"/>
              </w:rPr>
              <w:t>Standard CPU Compute Node (1,000 cycles)</w:t>
            </w:r>
          </w:p>
        </w:tc>
      </w:tr>
      <w:tr>
        <w:tc>
          <w:tcPr>
            <w:tcW w:type="dxa" w:w="3120"/>
            <w:shd w:fill="FFFFFF"/>
            <w:tcMar>
              <w:top w:w="80" w:type="dxa"/>
              <w:bottom w:w="80" w:type="dxa"/>
              <w:left w:w="100" w:type="dxa"/>
              <w:right w:w="100" w:type="dxa"/>
            </w:tcMar>
          </w:tcPr>
          <w:p>
            <w:pPr>
              <w:jc w:val="left"/>
            </w:pPr>
            <w:r>
              <w:rPr>
                <w:rFonts w:ascii="Arial" w:hAnsi="Arial"/>
                <w:color w:val="000000"/>
                <w:sz w:val="18"/>
              </w:rPr>
              <w:t>Peak Concurrency Throughput</w:t>
            </w:r>
          </w:p>
        </w:tc>
        <w:tc>
          <w:tcPr>
            <w:tcW w:type="dxa" w:w="3120"/>
            <w:shd w:fill="FFFFFF"/>
            <w:tcMar>
              <w:top w:w="80" w:type="dxa"/>
              <w:bottom w:w="80" w:type="dxa"/>
              <w:left w:w="100" w:type="dxa"/>
              <w:right w:w="100" w:type="dxa"/>
            </w:tcMar>
          </w:tcPr>
          <w:p>
            <w:pPr>
              <w:jc w:val="center"/>
            </w:pPr>
            <w:r>
              <w:rPr>
                <w:rFonts w:ascii="Arial" w:hAnsi="Arial"/>
                <w:color w:val="000000"/>
                <w:sz w:val="18"/>
              </w:rPr>
              <w:t>&gt;48,500 requests/sec</w:t>
            </w:r>
          </w:p>
        </w:tc>
        <w:tc>
          <w:tcPr>
            <w:tcW w:type="dxa" w:w="3120"/>
            <w:shd w:fill="FFFFFF"/>
            <w:tcMar>
              <w:top w:w="80" w:type="dxa"/>
              <w:bottom w:w="80" w:type="dxa"/>
              <w:left w:w="100" w:type="dxa"/>
              <w:right w:w="100" w:type="dxa"/>
            </w:tcMar>
          </w:tcPr>
          <w:p>
            <w:pPr>
              <w:jc w:val="center"/>
            </w:pPr>
            <w:r>
              <w:rPr>
                <w:rFonts w:ascii="Arial" w:hAnsi="Arial"/>
                <w:color w:val="000000"/>
                <w:sz w:val="18"/>
              </w:rPr>
              <w:t>FastAPI + Uvicorn ASGI Execution Core</w:t>
            </w:r>
          </w:p>
        </w:tc>
      </w:tr>
      <w:tr>
        <w:tc>
          <w:tcPr>
            <w:tcW w:type="dxa" w:w="3120"/>
            <w:shd w:fill="FFFFFF"/>
            <w:tcMar>
              <w:top w:w="80" w:type="dxa"/>
              <w:bottom w:w="80" w:type="dxa"/>
              <w:left w:w="100" w:type="dxa"/>
              <w:right w:w="100" w:type="dxa"/>
            </w:tcMar>
          </w:tcPr>
          <w:p>
            <w:pPr>
              <w:jc w:val="left"/>
            </w:pPr>
            <w:r>
              <w:rPr>
                <w:rFonts w:ascii="Arial" w:hAnsi="Arial"/>
                <w:color w:val="000000"/>
                <w:sz w:val="18"/>
              </w:rPr>
              <w:t>System Usability Scale (SUS)</w:t>
            </w:r>
          </w:p>
        </w:tc>
        <w:tc>
          <w:tcPr>
            <w:tcW w:type="dxa" w:w="3120"/>
            <w:shd w:fill="FFFFFF"/>
            <w:tcMar>
              <w:top w:w="80" w:type="dxa"/>
              <w:bottom w:w="80" w:type="dxa"/>
              <w:left w:w="100" w:type="dxa"/>
              <w:right w:w="100" w:type="dxa"/>
            </w:tcMar>
          </w:tcPr>
          <w:p>
            <w:pPr>
              <w:jc w:val="center"/>
            </w:pPr>
            <w:r>
              <w:rPr>
                <w:rFonts w:ascii="Arial" w:hAnsi="Arial"/>
                <w:color w:val="000000"/>
                <w:sz w:val="18"/>
              </w:rPr>
              <w:t>88.4 / 100 (Grade A+)</w:t>
            </w:r>
          </w:p>
        </w:tc>
        <w:tc>
          <w:tcPr>
            <w:tcW w:type="dxa" w:w="3120"/>
            <w:shd w:fill="FFFFFF"/>
            <w:tcMar>
              <w:top w:w="80" w:type="dxa"/>
              <w:bottom w:w="80" w:type="dxa"/>
              <w:left w:w="100" w:type="dxa"/>
              <w:right w:w="100" w:type="dxa"/>
            </w:tcMar>
          </w:tcPr>
          <w:p>
            <w:pPr>
              <w:jc w:val="center"/>
            </w:pPr>
            <w:r>
              <w:rPr>
                <w:rFonts w:ascii="Arial" w:hAnsi="Arial"/>
                <w:color w:val="000000"/>
                <w:sz w:val="18"/>
              </w:rPr>
              <w:t>Field Audit with 15 Health Experts</w:t>
            </w:r>
          </w:p>
        </w:tc>
      </w:tr>
    </w:tbl>
    <w:p>
      <w:pPr>
        <w:spacing w:after="200"/>
      </w:pPr>
    </w:p>
    <w:p>
      <w:pPr>
        <w:spacing w:after="120" w:line="276" w:lineRule="auto"/>
      </w:pPr>
      <w:r>
        <w:rPr>
          <w:rFonts w:ascii="Arial" w:hAnsi="Arial"/>
          <w:color w:val="000000"/>
          <w:sz w:val="22"/>
        </w:rPr>
        <w:t>Table 1: Summary of EpiST-Shield execution performance metrics and field usability audit results.</w:t>
      </w:r>
    </w:p>
    <w:p>
      <w:pPr>
        <w:spacing w:before="200" w:after="80"/>
      </w:pPr>
      <w:r>
        <w:rPr>
          <w:rFonts w:ascii="Arial" w:hAnsi="Arial"/>
          <w:b/>
          <w:color w:val="000000"/>
          <w:sz w:val="24"/>
        </w:rPr>
        <w:t>4.2 Usability Audit (SUS Score)</w:t>
      </w:r>
    </w:p>
    <w:p>
      <w:pPr>
        <w:spacing w:after="120" w:line="276" w:lineRule="auto"/>
      </w:pPr>
      <w:r>
        <w:rPr>
          <w:rFonts w:ascii="Arial" w:hAnsi="Arial"/>
          <w:color w:val="000000"/>
          <w:sz w:val="22"/>
        </w:rPr>
        <w:t>Field usability was evaluated with 15 public health domain experts using the standardized System Usability Scale (SUS). EpiST-Shield achieved an overall score of 88.4 / 100 (Grade A+ Excellent), confirming high operational clarity and user satisfaction among health officers.</w:t>
      </w:r>
    </w:p>
    <w:p>
      <w:pPr>
        <w:spacing w:before="200" w:after="80"/>
      </w:pPr>
      <w:r>
        <w:rPr>
          <w:rFonts w:ascii="Arial" w:hAnsi="Arial"/>
          <w:b/>
          <w:color w:val="000000"/>
          <w:sz w:val="24"/>
        </w:rPr>
        <w:t>4.3 Multi-District Spatial Forecasting Accuracy</w:t>
      </w:r>
    </w:p>
    <w:p>
      <w:pPr>
        <w:spacing w:after="120" w:line="276" w:lineRule="auto"/>
      </w:pPr>
      <w:r>
        <w:rPr>
          <w:rFonts w:ascii="Arial" w:hAnsi="Arial"/>
          <w:color w:val="000000"/>
          <w:sz w:val="22"/>
        </w:rPr>
        <w:t>The model's spatiotemporal accuracy was evaluated across all 11 focal districts (Dhaka, Chattogram, Mymensingh, Gazipur, Narayanganj, Khulna, Rajshahi, Sylhet, Barishal, Rangpur, and Cumilla) (Figure 6), demonstrating consistent predictive precision across 7-, 14-, 21-, and 30-day forecast horizons.</w:t>
      </w:r>
    </w:p>
    <w:p>
      <w:pPr>
        <w:spacing w:before="200" w:after="80"/>
        <w:jc w:val="center"/>
      </w:pPr>
      <w:r>
        <w:drawing>
          <wp:inline xmlns:a="http://schemas.openxmlformats.org/drawingml/2006/main" xmlns:pic="http://schemas.openxmlformats.org/drawingml/2006/picture">
            <wp:extent cx="5303520" cy="3055753"/>
            <wp:docPr id="6" name="Picture 6"/>
            <wp:cNvGraphicFramePr>
              <a:graphicFrameLocks noChangeAspect="1"/>
            </wp:cNvGraphicFramePr>
            <a:graphic>
              <a:graphicData uri="http://schemas.openxmlformats.org/drawingml/2006/picture">
                <pic:pic>
                  <pic:nvPicPr>
                    <pic:cNvPr id="0" name="fig7_spatial_performance_matrix.png"/>
                    <pic:cNvPicPr/>
                  </pic:nvPicPr>
                  <pic:blipFill>
                    <a:blip r:embed="rId14"/>
                    <a:stretch>
                      <a:fillRect/>
                    </a:stretch>
                  </pic:blipFill>
                  <pic:spPr>
                    <a:xfrm>
                      <a:off x="0" y="0"/>
                      <a:ext cx="5303520" cy="3055753"/>
                    </a:xfrm>
                    <a:prstGeom prst="rect"/>
                  </pic:spPr>
                </pic:pic>
              </a:graphicData>
            </a:graphic>
          </wp:inline>
        </w:drawing>
      </w:r>
    </w:p>
    <w:p>
      <w:pPr>
        <w:spacing w:after="200"/>
        <w:jc w:val="center"/>
      </w:pPr>
      <w:r>
        <w:rPr>
          <w:rFonts w:ascii="Arial" w:hAnsi="Arial"/>
          <w:i/>
          <w:color w:val="000000"/>
          <w:sz w:val="19"/>
        </w:rPr>
        <w:t>Fig. 6. Spatiotemporal outbreak forecasting accuracy and risk classification matrix across all 11 focal districts of Bangladesh.</w:t>
      </w:r>
    </w:p>
    <w:p>
      <w:pPr>
        <w:spacing w:before="200" w:after="80"/>
      </w:pPr>
      <w:r>
        <w:rPr>
          <w:rFonts w:ascii="Arial" w:hAnsi="Arial"/>
          <w:b/>
          <w:color w:val="000000"/>
          <w:sz w:val="24"/>
        </w:rPr>
        <w:t>4.3 Underlying Deep Learning Model Forecasting Accuracy (EpiST-Former Evaluation)</w:t>
      </w:r>
    </w:p>
    <w:p>
      <w:pPr>
        <w:spacing w:after="120" w:line="276" w:lineRule="auto"/>
      </w:pPr>
      <w:r>
        <w:rPr>
          <w:rFonts w:ascii="Arial" w:hAnsi="Arial"/>
          <w:color w:val="000000"/>
          <w:sz w:val="22"/>
        </w:rPr>
        <w:t>While SoftwareX focuses on software operational benchmarks, the core scientific validity of EpiST-Shield rests on the predictive performance of its pre-trained deep learning inference engine (EpiST-Former). The model was evaluated on a prospective locked test split (2025–2026; 6,017 test samples) across 11 focal endemic districts in Bangladesh. Evaluation metrics were calculated on the original daily dengue case scale to ensure real-world operational relevance. All pre-trained model weights (epist_former_model.keras), evaluation dataset matrices, and per-horizon metric logs are openly available in the repository for full scientific reproducibility and auditability.</w:t>
      </w:r>
    </w:p>
    <w:p>
      <w:pPr>
        <w:spacing w:after="120" w:line="276" w:lineRule="auto"/>
      </w:pPr>
      <w:r>
        <w:rPr>
          <w:rFonts w:ascii="Arial" w:hAnsi="Arial"/>
          <w:color w:val="000000"/>
          <w:sz w:val="22"/>
        </w:rPr>
        <w:t>Table 2 details the Master State-of-the-Art (SOTA) benchmark comparisons on the prospective test set. EpiST-Former achieves superior overall predictive accuracy (Test MAE = 4.1718, Test RMSE = 11.2358, R² Raw = 0.6194), outperforming tree ensembles (Random Forest R² = 0.5207) by +18.9% higher explanatory power, while unregularized linear models suffer from explosive scale collapse (Ridge R² = -6136.06).</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FFFFFF"/>
            <w:tcMar>
              <w:top w:w="100" w:type="dxa"/>
              <w:bottom w:w="100" w:type="dxa"/>
              <w:left w:w="80" w:type="dxa"/>
              <w:right w:w="80" w:type="dxa"/>
            </w:tcMar>
          </w:tcPr>
          <w:p>
            <w:pPr>
              <w:jc w:val="center"/>
            </w:pPr>
            <w:r>
              <w:rPr>
                <w:rFonts w:ascii="Arial" w:hAnsi="Arial"/>
                <w:b/>
                <w:color w:val="000000"/>
                <w:sz w:val="18"/>
              </w:rPr>
              <w:t>Model Name</w:t>
            </w:r>
          </w:p>
        </w:tc>
        <w:tc>
          <w:tcPr>
            <w:tcW w:type="dxa" w:w="1337"/>
            <w:shd w:fill="FFFFFF"/>
            <w:tcMar>
              <w:top w:w="100" w:type="dxa"/>
              <w:bottom w:w="100" w:type="dxa"/>
              <w:left w:w="80" w:type="dxa"/>
              <w:right w:w="80" w:type="dxa"/>
            </w:tcMar>
          </w:tcPr>
          <w:p>
            <w:pPr>
              <w:jc w:val="center"/>
            </w:pPr>
            <w:r>
              <w:rPr>
                <w:rFonts w:ascii="Arial" w:hAnsi="Arial"/>
                <w:b/>
                <w:color w:val="000000"/>
                <w:sz w:val="18"/>
              </w:rPr>
              <w:t>Model Category</w:t>
            </w:r>
          </w:p>
        </w:tc>
        <w:tc>
          <w:tcPr>
            <w:tcW w:type="dxa" w:w="1337"/>
            <w:shd w:fill="FFFFFF"/>
            <w:tcMar>
              <w:top w:w="100" w:type="dxa"/>
              <w:bottom w:w="100" w:type="dxa"/>
              <w:left w:w="80" w:type="dxa"/>
              <w:right w:w="80" w:type="dxa"/>
            </w:tcMar>
          </w:tcPr>
          <w:p>
            <w:pPr>
              <w:jc w:val="center"/>
            </w:pPr>
            <w:r>
              <w:rPr>
                <w:rFonts w:ascii="Arial" w:hAnsi="Arial"/>
                <w:b/>
                <w:color w:val="000000"/>
                <w:sz w:val="18"/>
              </w:rPr>
              <w:t>Test MAE ↓</w:t>
            </w:r>
          </w:p>
        </w:tc>
        <w:tc>
          <w:tcPr>
            <w:tcW w:type="dxa" w:w="1337"/>
            <w:shd w:fill="FFFFFF"/>
            <w:tcMar>
              <w:top w:w="100" w:type="dxa"/>
              <w:bottom w:w="100" w:type="dxa"/>
              <w:left w:w="80" w:type="dxa"/>
              <w:right w:w="80" w:type="dxa"/>
            </w:tcMar>
          </w:tcPr>
          <w:p>
            <w:pPr>
              <w:jc w:val="center"/>
            </w:pPr>
            <w:r>
              <w:rPr>
                <w:rFonts w:ascii="Arial" w:hAnsi="Arial"/>
                <w:b/>
                <w:color w:val="000000"/>
                <w:sz w:val="18"/>
              </w:rPr>
              <w:t>Test RMSE ↓</w:t>
            </w:r>
          </w:p>
        </w:tc>
        <w:tc>
          <w:tcPr>
            <w:tcW w:type="dxa" w:w="1337"/>
            <w:shd w:fill="FFFFFF"/>
            <w:tcMar>
              <w:top w:w="100" w:type="dxa"/>
              <w:bottom w:w="100" w:type="dxa"/>
              <w:left w:w="80" w:type="dxa"/>
              <w:right w:w="80" w:type="dxa"/>
            </w:tcMar>
          </w:tcPr>
          <w:p>
            <w:pPr>
              <w:jc w:val="center"/>
            </w:pPr>
            <w:r>
              <w:rPr>
                <w:rFonts w:ascii="Arial" w:hAnsi="Arial"/>
                <w:b/>
                <w:color w:val="000000"/>
                <w:sz w:val="18"/>
              </w:rPr>
              <w:t>R² Raw ↑</w:t>
            </w:r>
          </w:p>
        </w:tc>
        <w:tc>
          <w:tcPr>
            <w:tcW w:type="dxa" w:w="1337"/>
            <w:shd w:fill="FFFFFF"/>
            <w:tcMar>
              <w:top w:w="100" w:type="dxa"/>
              <w:bottom w:w="100" w:type="dxa"/>
              <w:left w:w="80" w:type="dxa"/>
              <w:right w:w="80" w:type="dxa"/>
            </w:tcMar>
          </w:tcPr>
          <w:p>
            <w:pPr>
              <w:jc w:val="center"/>
            </w:pPr>
            <w:r>
              <w:rPr>
                <w:rFonts w:ascii="Arial" w:hAnsi="Arial"/>
                <w:b/>
                <w:color w:val="000000"/>
                <w:sz w:val="18"/>
              </w:rPr>
              <w:t>R² Log ↑</w:t>
            </w:r>
          </w:p>
        </w:tc>
        <w:tc>
          <w:tcPr>
            <w:tcW w:type="dxa" w:w="1337"/>
            <w:shd w:fill="FFFFFF"/>
            <w:tcMar>
              <w:top w:w="100" w:type="dxa"/>
              <w:bottom w:w="100" w:type="dxa"/>
              <w:left w:w="80" w:type="dxa"/>
              <w:right w:w="80" w:type="dxa"/>
            </w:tcMar>
          </w:tcPr>
          <w:p>
            <w:pPr>
              <w:jc w:val="center"/>
            </w:pPr>
            <w:r>
              <w:rPr>
                <w:rFonts w:ascii="Arial" w:hAnsi="Arial"/>
                <w:b/>
                <w:color w:val="000000"/>
                <w:sz w:val="18"/>
              </w:rPr>
              <w:t>t+7 R² ↑</w:t>
            </w:r>
          </w:p>
        </w:tc>
      </w:tr>
      <w:tr>
        <w:tc>
          <w:tcPr>
            <w:tcW w:type="dxa" w:w="1337"/>
            <w:shd w:fill="FFFFFF"/>
            <w:tcMar>
              <w:top w:w="70" w:type="dxa"/>
              <w:bottom w:w="70" w:type="dxa"/>
              <w:left w:w="80" w:type="dxa"/>
              <w:right w:w="80" w:type="dxa"/>
            </w:tcMar>
          </w:tcPr>
          <w:p>
            <w:pPr>
              <w:jc w:val="left"/>
            </w:pPr>
            <w:r>
              <w:rPr>
                <w:rFonts w:ascii="Arial" w:hAnsi="Arial"/>
                <w:color w:val="000000"/>
                <w:sz w:val="17"/>
              </w:rPr>
              <w:t>Naive Zero Baseline</w:t>
            </w:r>
          </w:p>
        </w:tc>
        <w:tc>
          <w:tcPr>
            <w:tcW w:type="dxa" w:w="1337"/>
            <w:shd w:fill="FFFFFF"/>
            <w:tcMar>
              <w:top w:w="70" w:type="dxa"/>
              <w:bottom w:w="70" w:type="dxa"/>
              <w:left w:w="80" w:type="dxa"/>
              <w:right w:w="80" w:type="dxa"/>
            </w:tcMar>
          </w:tcPr>
          <w:p>
            <w:pPr>
              <w:jc w:val="center"/>
            </w:pPr>
            <w:r>
              <w:rPr>
                <w:rFonts w:ascii="Arial" w:hAnsi="Arial"/>
                <w:color w:val="000000"/>
                <w:sz w:val="17"/>
              </w:rPr>
              <w:t>Statistical Baseline</w:t>
            </w:r>
          </w:p>
        </w:tc>
        <w:tc>
          <w:tcPr>
            <w:tcW w:type="dxa" w:w="1337"/>
            <w:shd w:fill="FFFFFF"/>
            <w:tcMar>
              <w:top w:w="70" w:type="dxa"/>
              <w:bottom w:w="70" w:type="dxa"/>
              <w:left w:w="80" w:type="dxa"/>
              <w:right w:w="80" w:type="dxa"/>
            </w:tcMar>
          </w:tcPr>
          <w:p>
            <w:pPr>
              <w:jc w:val="center"/>
            </w:pPr>
            <w:r>
              <w:rPr>
                <w:rFonts w:ascii="Arial" w:hAnsi="Arial"/>
                <w:color w:val="000000"/>
                <w:sz w:val="17"/>
              </w:rPr>
              <w:t>6.6922</w:t>
            </w:r>
          </w:p>
        </w:tc>
        <w:tc>
          <w:tcPr>
            <w:tcW w:type="dxa" w:w="1337"/>
            <w:shd w:fill="FFFFFF"/>
            <w:tcMar>
              <w:top w:w="70" w:type="dxa"/>
              <w:bottom w:w="70" w:type="dxa"/>
              <w:left w:w="80" w:type="dxa"/>
              <w:right w:w="80" w:type="dxa"/>
            </w:tcMar>
          </w:tcPr>
          <w:p>
            <w:pPr>
              <w:jc w:val="center"/>
            </w:pPr>
            <w:r>
              <w:rPr>
                <w:rFonts w:ascii="Arial" w:hAnsi="Arial"/>
                <w:color w:val="000000"/>
                <w:sz w:val="17"/>
              </w:rPr>
              <w:t>19.4025</w:t>
            </w:r>
          </w:p>
        </w:tc>
        <w:tc>
          <w:tcPr>
            <w:tcW w:type="dxa" w:w="1337"/>
            <w:shd w:fill="FFFFFF"/>
            <w:tcMar>
              <w:top w:w="70" w:type="dxa"/>
              <w:bottom w:w="70" w:type="dxa"/>
              <w:left w:w="80" w:type="dxa"/>
              <w:right w:w="80" w:type="dxa"/>
            </w:tcMar>
          </w:tcPr>
          <w:p>
            <w:pPr>
              <w:jc w:val="center"/>
            </w:pPr>
            <w:r>
              <w:rPr>
                <w:rFonts w:ascii="Arial" w:hAnsi="Arial"/>
                <w:color w:val="000000"/>
                <w:sz w:val="17"/>
              </w:rPr>
              <w:t>-0.1350</w:t>
            </w:r>
          </w:p>
        </w:tc>
        <w:tc>
          <w:tcPr>
            <w:tcW w:type="dxa" w:w="1337"/>
            <w:shd w:fill="FFFFFF"/>
            <w:tcMar>
              <w:top w:w="70" w:type="dxa"/>
              <w:bottom w:w="70" w:type="dxa"/>
              <w:left w:w="80" w:type="dxa"/>
              <w:right w:w="80" w:type="dxa"/>
            </w:tcMar>
          </w:tcPr>
          <w:p>
            <w:pPr>
              <w:jc w:val="center"/>
            </w:pPr>
            <w:r>
              <w:rPr>
                <w:rFonts w:ascii="Arial" w:hAnsi="Arial"/>
                <w:color w:val="000000"/>
                <w:sz w:val="17"/>
              </w:rPr>
              <w:t>-0.3723</w:t>
            </w:r>
          </w:p>
        </w:tc>
        <w:tc>
          <w:tcPr>
            <w:tcW w:type="dxa" w:w="1337"/>
            <w:shd w:fill="FFFFFF"/>
            <w:tcMar>
              <w:top w:w="70" w:type="dxa"/>
              <w:bottom w:w="70" w:type="dxa"/>
              <w:left w:w="80" w:type="dxa"/>
              <w:right w:w="80" w:type="dxa"/>
            </w:tcMar>
          </w:tcPr>
          <w:p>
            <w:pPr>
              <w:jc w:val="center"/>
            </w:pPr>
            <w:r>
              <w:rPr>
                <w:rFonts w:ascii="Arial" w:hAnsi="Arial"/>
                <w:color w:val="000000"/>
                <w:sz w:val="17"/>
              </w:rPr>
              <w:t>-0.1361</w:t>
            </w:r>
          </w:p>
        </w:tc>
      </w:tr>
      <w:tr>
        <w:tc>
          <w:tcPr>
            <w:tcW w:type="dxa" w:w="1337"/>
            <w:shd w:fill="FFFFFF"/>
            <w:tcMar>
              <w:top w:w="70" w:type="dxa"/>
              <w:bottom w:w="70" w:type="dxa"/>
              <w:left w:w="80" w:type="dxa"/>
              <w:right w:w="80" w:type="dxa"/>
            </w:tcMar>
          </w:tcPr>
          <w:p>
            <w:pPr>
              <w:jc w:val="left"/>
            </w:pPr>
            <w:r>
              <w:rPr>
                <w:rFonts w:ascii="Arial" w:hAnsi="Arial"/>
                <w:color w:val="000000"/>
                <w:sz w:val="17"/>
              </w:rPr>
              <w:t>Historical Train Mean</w:t>
            </w:r>
          </w:p>
        </w:tc>
        <w:tc>
          <w:tcPr>
            <w:tcW w:type="dxa" w:w="1337"/>
            <w:shd w:fill="FFFFFF"/>
            <w:tcMar>
              <w:top w:w="70" w:type="dxa"/>
              <w:bottom w:w="70" w:type="dxa"/>
              <w:left w:w="80" w:type="dxa"/>
              <w:right w:w="80" w:type="dxa"/>
            </w:tcMar>
          </w:tcPr>
          <w:p>
            <w:pPr>
              <w:jc w:val="center"/>
            </w:pPr>
            <w:r>
              <w:rPr>
                <w:rFonts w:ascii="Arial" w:hAnsi="Arial"/>
                <w:color w:val="000000"/>
                <w:sz w:val="17"/>
              </w:rPr>
              <w:t>Statistical Baseline</w:t>
            </w:r>
          </w:p>
        </w:tc>
        <w:tc>
          <w:tcPr>
            <w:tcW w:type="dxa" w:w="1337"/>
            <w:shd w:fill="FFFFFF"/>
            <w:tcMar>
              <w:top w:w="70" w:type="dxa"/>
              <w:bottom w:w="70" w:type="dxa"/>
              <w:left w:w="80" w:type="dxa"/>
              <w:right w:w="80" w:type="dxa"/>
            </w:tcMar>
          </w:tcPr>
          <w:p>
            <w:pPr>
              <w:jc w:val="center"/>
            </w:pPr>
            <w:r>
              <w:rPr>
                <w:rFonts w:ascii="Arial" w:hAnsi="Arial"/>
                <w:color w:val="000000"/>
                <w:sz w:val="17"/>
              </w:rPr>
              <w:t>6.7014</w:t>
            </w:r>
          </w:p>
        </w:tc>
        <w:tc>
          <w:tcPr>
            <w:tcW w:type="dxa" w:w="1337"/>
            <w:shd w:fill="FFFFFF"/>
            <w:tcMar>
              <w:top w:w="70" w:type="dxa"/>
              <w:bottom w:w="70" w:type="dxa"/>
              <w:left w:w="80" w:type="dxa"/>
              <w:right w:w="80" w:type="dxa"/>
            </w:tcMar>
          </w:tcPr>
          <w:p>
            <w:pPr>
              <w:jc w:val="center"/>
            </w:pPr>
            <w:r>
              <w:rPr>
                <w:rFonts w:ascii="Arial" w:hAnsi="Arial"/>
                <w:color w:val="000000"/>
                <w:sz w:val="17"/>
              </w:rPr>
              <w:t>19.3932</w:t>
            </w:r>
          </w:p>
        </w:tc>
        <w:tc>
          <w:tcPr>
            <w:tcW w:type="dxa" w:w="1337"/>
            <w:shd w:fill="FFFFFF"/>
            <w:tcMar>
              <w:top w:w="70" w:type="dxa"/>
              <w:bottom w:w="70" w:type="dxa"/>
              <w:left w:w="80" w:type="dxa"/>
              <w:right w:w="80" w:type="dxa"/>
            </w:tcMar>
          </w:tcPr>
          <w:p>
            <w:pPr>
              <w:jc w:val="center"/>
            </w:pPr>
            <w:r>
              <w:rPr>
                <w:rFonts w:ascii="Arial" w:hAnsi="Arial"/>
                <w:color w:val="000000"/>
                <w:sz w:val="17"/>
              </w:rPr>
              <w:t>-0.1339</w:t>
            </w:r>
          </w:p>
        </w:tc>
        <w:tc>
          <w:tcPr>
            <w:tcW w:type="dxa" w:w="1337"/>
            <w:shd w:fill="FFFFFF"/>
            <w:tcMar>
              <w:top w:w="70" w:type="dxa"/>
              <w:bottom w:w="70" w:type="dxa"/>
              <w:left w:w="80" w:type="dxa"/>
              <w:right w:w="80" w:type="dxa"/>
            </w:tcMar>
          </w:tcPr>
          <w:p>
            <w:pPr>
              <w:jc w:val="center"/>
            </w:pPr>
            <w:r>
              <w:rPr>
                <w:rFonts w:ascii="Arial" w:hAnsi="Arial"/>
                <w:color w:val="000000"/>
                <w:sz w:val="17"/>
              </w:rPr>
              <w:t>-0.3476</w:t>
            </w:r>
          </w:p>
        </w:tc>
        <w:tc>
          <w:tcPr>
            <w:tcW w:type="dxa" w:w="1337"/>
            <w:shd w:fill="FFFFFF"/>
            <w:tcMar>
              <w:top w:w="70" w:type="dxa"/>
              <w:bottom w:w="70" w:type="dxa"/>
              <w:left w:w="80" w:type="dxa"/>
              <w:right w:w="80" w:type="dxa"/>
            </w:tcMar>
          </w:tcPr>
          <w:p>
            <w:pPr>
              <w:jc w:val="center"/>
            </w:pPr>
            <w:r>
              <w:rPr>
                <w:rFonts w:ascii="Arial" w:hAnsi="Arial"/>
                <w:color w:val="000000"/>
                <w:sz w:val="17"/>
              </w:rPr>
              <w:t>-0.1350</w:t>
            </w:r>
          </w:p>
        </w:tc>
      </w:tr>
      <w:tr>
        <w:tc>
          <w:tcPr>
            <w:tcW w:type="dxa" w:w="1337"/>
            <w:shd w:fill="FFFFFF"/>
            <w:tcMar>
              <w:top w:w="70" w:type="dxa"/>
              <w:bottom w:w="70" w:type="dxa"/>
              <w:left w:w="80" w:type="dxa"/>
              <w:right w:w="80" w:type="dxa"/>
            </w:tcMar>
          </w:tcPr>
          <w:p>
            <w:pPr>
              <w:jc w:val="left"/>
            </w:pPr>
            <w:r>
              <w:rPr>
                <w:rFonts w:ascii="Arial" w:hAnsi="Arial"/>
                <w:color w:val="000000"/>
                <w:sz w:val="17"/>
              </w:rPr>
              <w:t>7-Day Persistence</w:t>
            </w:r>
          </w:p>
        </w:tc>
        <w:tc>
          <w:tcPr>
            <w:tcW w:type="dxa" w:w="1337"/>
            <w:shd w:fill="FFFFFF"/>
            <w:tcMar>
              <w:top w:w="70" w:type="dxa"/>
              <w:bottom w:w="70" w:type="dxa"/>
              <w:left w:w="80" w:type="dxa"/>
              <w:right w:w="80" w:type="dxa"/>
            </w:tcMar>
          </w:tcPr>
          <w:p>
            <w:pPr>
              <w:jc w:val="center"/>
            </w:pPr>
            <w:r>
              <w:rPr>
                <w:rFonts w:ascii="Arial" w:hAnsi="Arial"/>
                <w:color w:val="000000"/>
                <w:sz w:val="17"/>
              </w:rPr>
              <w:t>Statistical Baseline</w:t>
            </w:r>
          </w:p>
        </w:tc>
        <w:tc>
          <w:tcPr>
            <w:tcW w:type="dxa" w:w="1337"/>
            <w:shd w:fill="FFFFFF"/>
            <w:tcMar>
              <w:top w:w="70" w:type="dxa"/>
              <w:bottom w:w="70" w:type="dxa"/>
              <w:left w:w="80" w:type="dxa"/>
              <w:right w:w="80" w:type="dxa"/>
            </w:tcMar>
          </w:tcPr>
          <w:p>
            <w:pPr>
              <w:jc w:val="center"/>
            </w:pPr>
            <w:r>
              <w:rPr>
                <w:rFonts w:ascii="Arial" w:hAnsi="Arial"/>
                <w:color w:val="000000"/>
                <w:sz w:val="17"/>
              </w:rPr>
              <w:t>4.2447</w:t>
            </w:r>
          </w:p>
        </w:tc>
        <w:tc>
          <w:tcPr>
            <w:tcW w:type="dxa" w:w="1337"/>
            <w:shd w:fill="FFFFFF"/>
            <w:tcMar>
              <w:top w:w="70" w:type="dxa"/>
              <w:bottom w:w="70" w:type="dxa"/>
              <w:left w:w="80" w:type="dxa"/>
              <w:right w:w="80" w:type="dxa"/>
            </w:tcMar>
          </w:tcPr>
          <w:p>
            <w:pPr>
              <w:jc w:val="center"/>
            </w:pPr>
            <w:r>
              <w:rPr>
                <w:rFonts w:ascii="Arial" w:hAnsi="Arial"/>
                <w:color w:val="000000"/>
                <w:sz w:val="17"/>
              </w:rPr>
              <w:t>11.2850</w:t>
            </w:r>
          </w:p>
        </w:tc>
        <w:tc>
          <w:tcPr>
            <w:tcW w:type="dxa" w:w="1337"/>
            <w:shd w:fill="FFFFFF"/>
            <w:tcMar>
              <w:top w:w="70" w:type="dxa"/>
              <w:bottom w:w="70" w:type="dxa"/>
              <w:left w:w="80" w:type="dxa"/>
              <w:right w:w="80" w:type="dxa"/>
            </w:tcMar>
          </w:tcPr>
          <w:p>
            <w:pPr>
              <w:jc w:val="center"/>
            </w:pPr>
            <w:r>
              <w:rPr>
                <w:rFonts w:ascii="Arial" w:hAnsi="Arial"/>
                <w:color w:val="000000"/>
                <w:sz w:val="17"/>
              </w:rPr>
              <w:t>0.6160</w:t>
            </w:r>
          </w:p>
        </w:tc>
        <w:tc>
          <w:tcPr>
            <w:tcW w:type="dxa" w:w="1337"/>
            <w:shd w:fill="FFFFFF"/>
            <w:tcMar>
              <w:top w:w="70" w:type="dxa"/>
              <w:bottom w:w="70" w:type="dxa"/>
              <w:left w:w="80" w:type="dxa"/>
              <w:right w:w="80" w:type="dxa"/>
            </w:tcMar>
          </w:tcPr>
          <w:p>
            <w:pPr>
              <w:jc w:val="center"/>
            </w:pPr>
            <w:r>
              <w:rPr>
                <w:rFonts w:ascii="Arial" w:hAnsi="Arial"/>
                <w:color w:val="000000"/>
                <w:sz w:val="17"/>
              </w:rPr>
              <w:t>0.5421</w:t>
            </w:r>
          </w:p>
        </w:tc>
        <w:tc>
          <w:tcPr>
            <w:tcW w:type="dxa" w:w="1337"/>
            <w:shd w:fill="FFFFFF"/>
            <w:tcMar>
              <w:top w:w="70" w:type="dxa"/>
              <w:bottom w:w="70" w:type="dxa"/>
              <w:left w:w="80" w:type="dxa"/>
              <w:right w:w="80" w:type="dxa"/>
            </w:tcMar>
          </w:tcPr>
          <w:p>
            <w:pPr>
              <w:jc w:val="center"/>
            </w:pPr>
            <w:r>
              <w:rPr>
                <w:rFonts w:ascii="Arial" w:hAnsi="Arial"/>
                <w:color w:val="000000"/>
                <w:sz w:val="17"/>
              </w:rPr>
              <w:t>0.6413</w:t>
            </w:r>
          </w:p>
        </w:tc>
      </w:tr>
      <w:tr>
        <w:tc>
          <w:tcPr>
            <w:tcW w:type="dxa" w:w="1337"/>
            <w:shd w:fill="FFFFFF"/>
            <w:tcMar>
              <w:top w:w="70" w:type="dxa"/>
              <w:bottom w:w="70" w:type="dxa"/>
              <w:left w:w="80" w:type="dxa"/>
              <w:right w:w="80" w:type="dxa"/>
            </w:tcMar>
          </w:tcPr>
          <w:p>
            <w:pPr>
              <w:jc w:val="left"/>
            </w:pPr>
            <w:r>
              <w:rPr>
                <w:rFonts w:ascii="Arial" w:hAnsi="Arial"/>
                <w:color w:val="000000"/>
                <w:sz w:val="17"/>
              </w:rPr>
              <w:t>Ridge Regressor</w:t>
            </w:r>
          </w:p>
        </w:tc>
        <w:tc>
          <w:tcPr>
            <w:tcW w:type="dxa" w:w="1337"/>
            <w:shd w:fill="FFFFFF"/>
            <w:tcMar>
              <w:top w:w="70" w:type="dxa"/>
              <w:bottom w:w="70" w:type="dxa"/>
              <w:left w:w="80" w:type="dxa"/>
              <w:right w:w="80" w:type="dxa"/>
            </w:tcMar>
          </w:tcPr>
          <w:p>
            <w:pPr>
              <w:jc w:val="center"/>
            </w:pPr>
            <w:r>
              <w:rPr>
                <w:rFonts w:ascii="Arial" w:hAnsi="Arial"/>
                <w:color w:val="000000"/>
                <w:sz w:val="17"/>
              </w:rPr>
              <w:t>Classical ML</w:t>
            </w:r>
          </w:p>
        </w:tc>
        <w:tc>
          <w:tcPr>
            <w:tcW w:type="dxa" w:w="1337"/>
            <w:shd w:fill="FFFFFF"/>
            <w:tcMar>
              <w:top w:w="70" w:type="dxa"/>
              <w:bottom w:w="70" w:type="dxa"/>
              <w:left w:w="80" w:type="dxa"/>
              <w:right w:w="80" w:type="dxa"/>
            </w:tcMar>
          </w:tcPr>
          <w:p>
            <w:pPr>
              <w:jc w:val="center"/>
            </w:pPr>
            <w:r>
              <w:rPr>
                <w:rFonts w:ascii="Arial" w:hAnsi="Arial"/>
                <w:color w:val="000000"/>
                <w:sz w:val="17"/>
              </w:rPr>
              <w:t>153.4708</w:t>
            </w:r>
          </w:p>
        </w:tc>
        <w:tc>
          <w:tcPr>
            <w:tcW w:type="dxa" w:w="1337"/>
            <w:shd w:fill="FFFFFF"/>
            <w:tcMar>
              <w:top w:w="70" w:type="dxa"/>
              <w:bottom w:w="70" w:type="dxa"/>
              <w:left w:w="80" w:type="dxa"/>
              <w:right w:w="80" w:type="dxa"/>
            </w:tcMar>
          </w:tcPr>
          <w:p>
            <w:pPr>
              <w:jc w:val="center"/>
            </w:pPr>
            <w:r>
              <w:rPr>
                <w:rFonts w:ascii="Arial" w:hAnsi="Arial"/>
                <w:color w:val="000000"/>
                <w:sz w:val="17"/>
              </w:rPr>
              <w:t>1426.7078</w:t>
            </w:r>
          </w:p>
        </w:tc>
        <w:tc>
          <w:tcPr>
            <w:tcW w:type="dxa" w:w="1337"/>
            <w:shd w:fill="FFFFFF"/>
            <w:tcMar>
              <w:top w:w="70" w:type="dxa"/>
              <w:bottom w:w="70" w:type="dxa"/>
              <w:left w:w="80" w:type="dxa"/>
              <w:right w:w="80" w:type="dxa"/>
            </w:tcMar>
          </w:tcPr>
          <w:p>
            <w:pPr>
              <w:jc w:val="center"/>
            </w:pPr>
            <w:r>
              <w:rPr>
                <w:rFonts w:ascii="Arial" w:hAnsi="Arial"/>
                <w:color w:val="000000"/>
                <w:sz w:val="17"/>
              </w:rPr>
              <w:t>-6136.06</w:t>
            </w:r>
          </w:p>
        </w:tc>
        <w:tc>
          <w:tcPr>
            <w:tcW w:type="dxa" w:w="1337"/>
            <w:shd w:fill="FFFFFF"/>
            <w:tcMar>
              <w:top w:w="70" w:type="dxa"/>
              <w:bottom w:w="70" w:type="dxa"/>
              <w:left w:w="80" w:type="dxa"/>
              <w:right w:w="80" w:type="dxa"/>
            </w:tcMar>
          </w:tcPr>
          <w:p>
            <w:pPr>
              <w:jc w:val="center"/>
            </w:pPr>
            <w:r>
              <w:rPr>
                <w:rFonts w:ascii="Arial" w:hAnsi="Arial"/>
                <w:color w:val="000000"/>
                <w:sz w:val="17"/>
              </w:rPr>
              <w:t>-0.7735</w:t>
            </w:r>
          </w:p>
        </w:tc>
        <w:tc>
          <w:tcPr>
            <w:tcW w:type="dxa" w:w="1337"/>
            <w:shd w:fill="FFFFFF"/>
            <w:tcMar>
              <w:top w:w="70" w:type="dxa"/>
              <w:bottom w:w="70" w:type="dxa"/>
              <w:left w:w="80" w:type="dxa"/>
              <w:right w:w="80" w:type="dxa"/>
            </w:tcMar>
          </w:tcPr>
          <w:p>
            <w:pPr>
              <w:jc w:val="center"/>
            </w:pPr>
            <w:r>
              <w:rPr>
                <w:rFonts w:ascii="Arial" w:hAnsi="Arial"/>
                <w:color w:val="000000"/>
                <w:sz w:val="17"/>
              </w:rPr>
              <w:t>-15939.48</w:t>
            </w:r>
          </w:p>
        </w:tc>
      </w:tr>
      <w:tr>
        <w:tc>
          <w:tcPr>
            <w:tcW w:type="dxa" w:w="1337"/>
            <w:shd w:fill="FFFFFF"/>
            <w:tcMar>
              <w:top w:w="70" w:type="dxa"/>
              <w:bottom w:w="70" w:type="dxa"/>
              <w:left w:w="80" w:type="dxa"/>
              <w:right w:w="80" w:type="dxa"/>
            </w:tcMar>
          </w:tcPr>
          <w:p>
            <w:pPr>
              <w:jc w:val="left"/>
            </w:pPr>
            <w:r>
              <w:rPr>
                <w:rFonts w:ascii="Arial" w:hAnsi="Arial"/>
                <w:color w:val="000000"/>
                <w:sz w:val="17"/>
              </w:rPr>
              <w:t>Random Forest</w:t>
            </w:r>
          </w:p>
        </w:tc>
        <w:tc>
          <w:tcPr>
            <w:tcW w:type="dxa" w:w="1337"/>
            <w:shd w:fill="FFFFFF"/>
            <w:tcMar>
              <w:top w:w="70" w:type="dxa"/>
              <w:bottom w:w="70" w:type="dxa"/>
              <w:left w:w="80" w:type="dxa"/>
              <w:right w:w="80" w:type="dxa"/>
            </w:tcMar>
          </w:tcPr>
          <w:p>
            <w:pPr>
              <w:jc w:val="center"/>
            </w:pPr>
            <w:r>
              <w:rPr>
                <w:rFonts w:ascii="Arial" w:hAnsi="Arial"/>
                <w:color w:val="000000"/>
                <w:sz w:val="17"/>
              </w:rPr>
              <w:t>Classical ML</w:t>
            </w:r>
          </w:p>
        </w:tc>
        <w:tc>
          <w:tcPr>
            <w:tcW w:type="dxa" w:w="1337"/>
            <w:shd w:fill="FFFFFF"/>
            <w:tcMar>
              <w:top w:w="70" w:type="dxa"/>
              <w:bottom w:w="70" w:type="dxa"/>
              <w:left w:w="80" w:type="dxa"/>
              <w:right w:w="80" w:type="dxa"/>
            </w:tcMar>
          </w:tcPr>
          <w:p>
            <w:pPr>
              <w:jc w:val="center"/>
            </w:pPr>
            <w:r>
              <w:rPr>
                <w:rFonts w:ascii="Arial" w:hAnsi="Arial"/>
                <w:color w:val="000000"/>
                <w:sz w:val="17"/>
              </w:rPr>
              <w:t>4.8038</w:t>
            </w:r>
          </w:p>
        </w:tc>
        <w:tc>
          <w:tcPr>
            <w:tcW w:type="dxa" w:w="1337"/>
            <w:shd w:fill="FFFFFF"/>
            <w:tcMar>
              <w:top w:w="70" w:type="dxa"/>
              <w:bottom w:w="70" w:type="dxa"/>
              <w:left w:w="80" w:type="dxa"/>
              <w:right w:w="80" w:type="dxa"/>
            </w:tcMar>
          </w:tcPr>
          <w:p>
            <w:pPr>
              <w:jc w:val="center"/>
            </w:pPr>
            <w:r>
              <w:rPr>
                <w:rFonts w:ascii="Arial" w:hAnsi="Arial"/>
                <w:color w:val="000000"/>
                <w:sz w:val="17"/>
              </w:rPr>
              <w:t>12.6087</w:t>
            </w:r>
          </w:p>
        </w:tc>
        <w:tc>
          <w:tcPr>
            <w:tcW w:type="dxa" w:w="1337"/>
            <w:shd w:fill="FFFFFF"/>
            <w:tcMar>
              <w:top w:w="70" w:type="dxa"/>
              <w:bottom w:w="70" w:type="dxa"/>
              <w:left w:w="80" w:type="dxa"/>
              <w:right w:w="80" w:type="dxa"/>
            </w:tcMar>
          </w:tcPr>
          <w:p>
            <w:pPr>
              <w:jc w:val="center"/>
            </w:pPr>
            <w:r>
              <w:rPr>
                <w:rFonts w:ascii="Arial" w:hAnsi="Arial"/>
                <w:color w:val="000000"/>
                <w:sz w:val="17"/>
              </w:rPr>
              <w:t>0.5207</w:t>
            </w:r>
          </w:p>
        </w:tc>
        <w:tc>
          <w:tcPr>
            <w:tcW w:type="dxa" w:w="1337"/>
            <w:shd w:fill="FFFFFF"/>
            <w:tcMar>
              <w:top w:w="70" w:type="dxa"/>
              <w:bottom w:w="70" w:type="dxa"/>
              <w:left w:w="80" w:type="dxa"/>
              <w:right w:w="80" w:type="dxa"/>
            </w:tcMar>
          </w:tcPr>
          <w:p>
            <w:pPr>
              <w:jc w:val="center"/>
            </w:pPr>
            <w:r>
              <w:rPr>
                <w:rFonts w:ascii="Arial" w:hAnsi="Arial"/>
                <w:color w:val="000000"/>
                <w:sz w:val="17"/>
              </w:rPr>
              <w:t>0.4868</w:t>
            </w:r>
          </w:p>
        </w:tc>
        <w:tc>
          <w:tcPr>
            <w:tcW w:type="dxa" w:w="1337"/>
            <w:shd w:fill="FFFFFF"/>
            <w:tcMar>
              <w:top w:w="70" w:type="dxa"/>
              <w:bottom w:w="70" w:type="dxa"/>
              <w:left w:w="80" w:type="dxa"/>
              <w:right w:w="80" w:type="dxa"/>
            </w:tcMar>
          </w:tcPr>
          <w:p>
            <w:pPr>
              <w:jc w:val="center"/>
            </w:pPr>
            <w:r>
              <w:rPr>
                <w:rFonts w:ascii="Arial" w:hAnsi="Arial"/>
                <w:color w:val="000000"/>
                <w:sz w:val="17"/>
              </w:rPr>
              <w:t>0.6168</w:t>
            </w:r>
          </w:p>
        </w:tc>
      </w:tr>
      <w:tr>
        <w:tc>
          <w:tcPr>
            <w:tcW w:type="dxa" w:w="1337"/>
            <w:shd w:fill="FFFFFF"/>
            <w:tcMar>
              <w:top w:w="70" w:type="dxa"/>
              <w:bottom w:w="70" w:type="dxa"/>
              <w:left w:w="80" w:type="dxa"/>
              <w:right w:w="80" w:type="dxa"/>
            </w:tcMar>
          </w:tcPr>
          <w:p>
            <w:pPr>
              <w:jc w:val="left"/>
            </w:pPr>
            <w:r>
              <w:rPr>
                <w:rFonts w:ascii="Arial" w:hAnsi="Arial"/>
                <w:b/>
                <w:color w:val="000000"/>
                <w:sz w:val="17"/>
              </w:rPr>
              <w:t>Proposed EpiST-Former</w:t>
            </w:r>
          </w:p>
        </w:tc>
        <w:tc>
          <w:tcPr>
            <w:tcW w:type="dxa" w:w="1337"/>
            <w:shd w:fill="FFFFFF"/>
            <w:tcMar>
              <w:top w:w="70" w:type="dxa"/>
              <w:bottom w:w="70" w:type="dxa"/>
              <w:left w:w="80" w:type="dxa"/>
              <w:right w:w="80" w:type="dxa"/>
            </w:tcMar>
          </w:tcPr>
          <w:p>
            <w:pPr>
              <w:jc w:val="center"/>
            </w:pPr>
            <w:r>
              <w:rPr>
                <w:rFonts w:ascii="Arial" w:hAnsi="Arial"/>
                <w:b/>
                <w:color w:val="000000"/>
                <w:sz w:val="17"/>
              </w:rPr>
              <w:t>Deep Transformer Core</w:t>
            </w:r>
          </w:p>
        </w:tc>
        <w:tc>
          <w:tcPr>
            <w:tcW w:type="dxa" w:w="1337"/>
            <w:shd w:fill="FFFFFF"/>
            <w:tcMar>
              <w:top w:w="70" w:type="dxa"/>
              <w:bottom w:w="70" w:type="dxa"/>
              <w:left w:w="80" w:type="dxa"/>
              <w:right w:w="80" w:type="dxa"/>
            </w:tcMar>
          </w:tcPr>
          <w:p>
            <w:pPr>
              <w:jc w:val="center"/>
            </w:pPr>
            <w:r>
              <w:rPr>
                <w:rFonts w:ascii="Arial" w:hAnsi="Arial"/>
                <w:b/>
                <w:color w:val="000000"/>
                <w:sz w:val="17"/>
              </w:rPr>
              <w:t>4.1718</w:t>
            </w:r>
          </w:p>
        </w:tc>
        <w:tc>
          <w:tcPr>
            <w:tcW w:type="dxa" w:w="1337"/>
            <w:shd w:fill="FFFFFF"/>
            <w:tcMar>
              <w:top w:w="70" w:type="dxa"/>
              <w:bottom w:w="70" w:type="dxa"/>
              <w:left w:w="80" w:type="dxa"/>
              <w:right w:w="80" w:type="dxa"/>
            </w:tcMar>
          </w:tcPr>
          <w:p>
            <w:pPr>
              <w:jc w:val="center"/>
            </w:pPr>
            <w:r>
              <w:rPr>
                <w:rFonts w:ascii="Arial" w:hAnsi="Arial"/>
                <w:b/>
                <w:color w:val="000000"/>
                <w:sz w:val="17"/>
              </w:rPr>
              <w:t>11.2358</w:t>
            </w:r>
          </w:p>
        </w:tc>
        <w:tc>
          <w:tcPr>
            <w:tcW w:type="dxa" w:w="1337"/>
            <w:shd w:fill="FFFFFF"/>
            <w:tcMar>
              <w:top w:w="70" w:type="dxa"/>
              <w:bottom w:w="70" w:type="dxa"/>
              <w:left w:w="80" w:type="dxa"/>
              <w:right w:w="80" w:type="dxa"/>
            </w:tcMar>
          </w:tcPr>
          <w:p>
            <w:pPr>
              <w:jc w:val="center"/>
            </w:pPr>
            <w:r>
              <w:rPr>
                <w:rFonts w:ascii="Arial" w:hAnsi="Arial"/>
                <w:b/>
                <w:color w:val="000000"/>
                <w:sz w:val="17"/>
              </w:rPr>
              <w:t>0.6194</w:t>
            </w:r>
          </w:p>
        </w:tc>
        <w:tc>
          <w:tcPr>
            <w:tcW w:type="dxa" w:w="1337"/>
            <w:shd w:fill="FFFFFF"/>
            <w:tcMar>
              <w:top w:w="70" w:type="dxa"/>
              <w:bottom w:w="70" w:type="dxa"/>
              <w:left w:w="80" w:type="dxa"/>
              <w:right w:w="80" w:type="dxa"/>
            </w:tcMar>
          </w:tcPr>
          <w:p>
            <w:pPr>
              <w:jc w:val="center"/>
            </w:pPr>
            <w:r>
              <w:rPr>
                <w:rFonts w:ascii="Arial" w:hAnsi="Arial"/>
                <w:b/>
                <w:color w:val="000000"/>
                <w:sz w:val="17"/>
              </w:rPr>
              <w:t>0.5817</w:t>
            </w:r>
          </w:p>
        </w:tc>
        <w:tc>
          <w:tcPr>
            <w:tcW w:type="dxa" w:w="1337"/>
            <w:shd w:fill="FFFFFF"/>
            <w:tcMar>
              <w:top w:w="70" w:type="dxa"/>
              <w:bottom w:w="70" w:type="dxa"/>
              <w:left w:w="80" w:type="dxa"/>
              <w:right w:w="80" w:type="dxa"/>
            </w:tcMar>
          </w:tcPr>
          <w:p>
            <w:pPr>
              <w:jc w:val="center"/>
            </w:pPr>
            <w:r>
              <w:rPr>
                <w:rFonts w:ascii="Arial" w:hAnsi="Arial"/>
                <w:b/>
                <w:color w:val="000000"/>
                <w:sz w:val="17"/>
              </w:rPr>
              <w:t>0.6469</w:t>
            </w:r>
          </w:p>
        </w:tc>
      </w:tr>
    </w:tbl>
    <w:p>
      <w:pPr>
        <w:spacing w:after="200"/>
      </w:pPr>
    </w:p>
    <w:p>
      <w:pPr>
        <w:spacing w:after="120" w:line="276" w:lineRule="auto"/>
      </w:pPr>
      <w:r>
        <w:rPr>
          <w:rFonts w:ascii="Arial" w:hAnsi="Arial"/>
          <w:color w:val="000000"/>
          <w:sz w:val="22"/>
        </w:rPr>
        <w:t>Table 2: Master SOTA predictive accuracy benchmark on the prospective test set (2025–2026; 6,017 samples) comparing EpiST-Former against statistical and machine learning baselines.</w:t>
      </w:r>
    </w:p>
    <w:p>
      <w:pPr>
        <w:spacing w:after="120" w:line="276" w:lineRule="auto"/>
      </w:pPr>
      <w:r>
        <w:rPr>
          <w:rFonts w:ascii="Arial" w:hAnsi="Arial"/>
          <w:color w:val="000000"/>
          <w:sz w:val="22"/>
        </w:rPr>
        <w:t>Table 3 presents the detailed multi-horizon prospective forecasting breakdown from t+1 to t+7 days lead time. Unlike standard sequence models whose predictive accuracy decays over longer lead times, EpiST-Former's R² score improves over longer lead horizons, rising from 0.6093 at t+1 to a peak of 0.6469 at t+7 lead days due to effective meteorological gating (MGA) capturing 14-day cumulative rainfall lags.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FFFFFF"/>
            <w:tcMar>
              <w:top w:w="100" w:type="dxa"/>
              <w:bottom w:w="100" w:type="dxa"/>
              <w:left w:w="80" w:type="dxa"/>
              <w:right w:w="80" w:type="dxa"/>
            </w:tcMar>
          </w:tcPr>
          <w:p>
            <w:pPr>
              <w:jc w:val="center"/>
            </w:pPr>
            <w:r>
              <w:rPr>
                <w:rFonts w:ascii="Arial" w:hAnsi="Arial"/>
                <w:b/>
                <w:color w:val="000000"/>
                <w:sz w:val="18"/>
              </w:rPr>
              <w:t>Forecast Horizon</w:t>
            </w:r>
          </w:p>
        </w:tc>
        <w:tc>
          <w:tcPr>
            <w:tcW w:type="dxa" w:w="1337"/>
            <w:shd w:fill="FFFFFF"/>
            <w:tcMar>
              <w:top w:w="100" w:type="dxa"/>
              <w:bottom w:w="100" w:type="dxa"/>
              <w:left w:w="80" w:type="dxa"/>
              <w:right w:w="80" w:type="dxa"/>
            </w:tcMar>
          </w:tcPr>
          <w:p>
            <w:pPr>
              <w:jc w:val="center"/>
            </w:pPr>
            <w:r>
              <w:rPr>
                <w:rFonts w:ascii="Arial" w:hAnsi="Arial"/>
                <w:b/>
                <w:color w:val="000000"/>
                <w:sz w:val="18"/>
              </w:rPr>
              <w:t>EpiST MAE ↓</w:t>
            </w:r>
          </w:p>
        </w:tc>
        <w:tc>
          <w:tcPr>
            <w:tcW w:type="dxa" w:w="1337"/>
            <w:shd w:fill="FFFFFF"/>
            <w:tcMar>
              <w:top w:w="100" w:type="dxa"/>
              <w:bottom w:w="100" w:type="dxa"/>
              <w:left w:w="80" w:type="dxa"/>
              <w:right w:w="80" w:type="dxa"/>
            </w:tcMar>
          </w:tcPr>
          <w:p>
            <w:pPr>
              <w:jc w:val="center"/>
            </w:pPr>
            <w:r>
              <w:rPr>
                <w:rFonts w:ascii="Arial" w:hAnsi="Arial"/>
                <w:b/>
                <w:color w:val="000000"/>
                <w:sz w:val="18"/>
              </w:rPr>
              <w:t>EpiST RMSE ↓</w:t>
            </w:r>
          </w:p>
        </w:tc>
        <w:tc>
          <w:tcPr>
            <w:tcW w:type="dxa" w:w="1337"/>
            <w:shd w:fill="FFFFFF"/>
            <w:tcMar>
              <w:top w:w="100" w:type="dxa"/>
              <w:bottom w:w="100" w:type="dxa"/>
              <w:left w:w="80" w:type="dxa"/>
              <w:right w:w="80" w:type="dxa"/>
            </w:tcMar>
          </w:tcPr>
          <w:p>
            <w:pPr>
              <w:jc w:val="center"/>
            </w:pPr>
            <w:r>
              <w:rPr>
                <w:rFonts w:ascii="Arial" w:hAnsi="Arial"/>
                <w:b/>
                <w:color w:val="000000"/>
                <w:sz w:val="18"/>
              </w:rPr>
              <w:t>EpiST R² ↑</w:t>
            </w:r>
          </w:p>
        </w:tc>
        <w:tc>
          <w:tcPr>
            <w:tcW w:type="dxa" w:w="1337"/>
            <w:shd w:fill="FFFFFF"/>
            <w:tcMar>
              <w:top w:w="100" w:type="dxa"/>
              <w:bottom w:w="100" w:type="dxa"/>
              <w:left w:w="80" w:type="dxa"/>
              <w:right w:w="80" w:type="dxa"/>
            </w:tcMar>
          </w:tcPr>
          <w:p>
            <w:pPr>
              <w:jc w:val="center"/>
            </w:pPr>
            <w:r>
              <w:rPr>
                <w:rFonts w:ascii="Arial" w:hAnsi="Arial"/>
                <w:b/>
                <w:color w:val="000000"/>
                <w:sz w:val="18"/>
              </w:rPr>
              <w:t>RF MAE ↓</w:t>
            </w:r>
          </w:p>
        </w:tc>
        <w:tc>
          <w:tcPr>
            <w:tcW w:type="dxa" w:w="1337"/>
            <w:shd w:fill="FFFFFF"/>
            <w:tcMar>
              <w:top w:w="100" w:type="dxa"/>
              <w:bottom w:w="100" w:type="dxa"/>
              <w:left w:w="80" w:type="dxa"/>
              <w:right w:w="80" w:type="dxa"/>
            </w:tcMar>
          </w:tcPr>
          <w:p>
            <w:pPr>
              <w:jc w:val="center"/>
            </w:pPr>
            <w:r>
              <w:rPr>
                <w:rFonts w:ascii="Arial" w:hAnsi="Arial"/>
                <w:b/>
                <w:color w:val="000000"/>
                <w:sz w:val="18"/>
              </w:rPr>
              <w:t>RF RMSE ↓</w:t>
            </w:r>
          </w:p>
        </w:tc>
        <w:tc>
          <w:tcPr>
            <w:tcW w:type="dxa" w:w="1337"/>
            <w:shd w:fill="FFFFFF"/>
            <w:tcMar>
              <w:top w:w="100" w:type="dxa"/>
              <w:bottom w:w="100" w:type="dxa"/>
              <w:left w:w="80" w:type="dxa"/>
              <w:right w:w="80" w:type="dxa"/>
            </w:tcMar>
          </w:tcPr>
          <w:p>
            <w:pPr>
              <w:jc w:val="center"/>
            </w:pPr>
            <w:r>
              <w:rPr>
                <w:rFonts w:ascii="Arial" w:hAnsi="Arial"/>
                <w:b/>
                <w:color w:val="000000"/>
                <w:sz w:val="18"/>
              </w:rPr>
              <w:t>RF R² ↑</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t+1</w:t>
            </w:r>
          </w:p>
        </w:tc>
        <w:tc>
          <w:tcPr>
            <w:tcW w:type="dxa" w:w="1337"/>
            <w:shd w:fill="FFFFFF"/>
            <w:tcMar>
              <w:top w:w="70" w:type="dxa"/>
              <w:bottom w:w="70" w:type="dxa"/>
              <w:left w:w="80" w:type="dxa"/>
              <w:right w:w="80" w:type="dxa"/>
            </w:tcMar>
          </w:tcPr>
          <w:p>
            <w:pPr>
              <w:jc w:val="center"/>
            </w:pPr>
            <w:r>
              <w:rPr>
                <w:rFonts w:ascii="Arial" w:hAnsi="Arial"/>
                <w:color w:val="000000"/>
                <w:sz w:val="17"/>
              </w:rPr>
              <w:t>4.1520</w:t>
            </w:r>
          </w:p>
        </w:tc>
        <w:tc>
          <w:tcPr>
            <w:tcW w:type="dxa" w:w="1337"/>
            <w:shd w:fill="FFFFFF"/>
            <w:tcMar>
              <w:top w:w="70" w:type="dxa"/>
              <w:bottom w:w="70" w:type="dxa"/>
              <w:left w:w="80" w:type="dxa"/>
              <w:right w:w="80" w:type="dxa"/>
            </w:tcMar>
          </w:tcPr>
          <w:p>
            <w:pPr>
              <w:jc w:val="center"/>
            </w:pPr>
            <w:r>
              <w:rPr>
                <w:rFonts w:ascii="Arial" w:hAnsi="Arial"/>
                <w:color w:val="000000"/>
                <w:sz w:val="17"/>
              </w:rPr>
              <w:t>11.1850</w:t>
            </w:r>
          </w:p>
        </w:tc>
        <w:tc>
          <w:tcPr>
            <w:tcW w:type="dxa" w:w="1337"/>
            <w:shd w:fill="FFFFFF"/>
            <w:tcMar>
              <w:top w:w="70" w:type="dxa"/>
              <w:bottom w:w="70" w:type="dxa"/>
              <w:left w:w="80" w:type="dxa"/>
              <w:right w:w="80" w:type="dxa"/>
            </w:tcMar>
          </w:tcPr>
          <w:p>
            <w:pPr>
              <w:jc w:val="center"/>
            </w:pPr>
            <w:r>
              <w:rPr>
                <w:rFonts w:ascii="Arial" w:hAnsi="Arial"/>
                <w:color w:val="000000"/>
                <w:sz w:val="17"/>
              </w:rPr>
              <w:t>0.6093</w:t>
            </w:r>
          </w:p>
        </w:tc>
        <w:tc>
          <w:tcPr>
            <w:tcW w:type="dxa" w:w="1337"/>
            <w:shd w:fill="FFFFFF"/>
            <w:tcMar>
              <w:top w:w="70" w:type="dxa"/>
              <w:bottom w:w="70" w:type="dxa"/>
              <w:left w:w="80" w:type="dxa"/>
              <w:right w:w="80" w:type="dxa"/>
            </w:tcMar>
          </w:tcPr>
          <w:p>
            <w:pPr>
              <w:jc w:val="center"/>
            </w:pPr>
            <w:r>
              <w:rPr>
                <w:rFonts w:ascii="Arial" w:hAnsi="Arial"/>
                <w:color w:val="000000"/>
                <w:sz w:val="17"/>
              </w:rPr>
              <w:t>6.8081</w:t>
            </w:r>
          </w:p>
        </w:tc>
        <w:tc>
          <w:tcPr>
            <w:tcW w:type="dxa" w:w="1337"/>
            <w:shd w:fill="FFFFFF"/>
            <w:tcMar>
              <w:top w:w="70" w:type="dxa"/>
              <w:bottom w:w="70" w:type="dxa"/>
              <w:left w:w="80" w:type="dxa"/>
              <w:right w:w="80" w:type="dxa"/>
            </w:tcMar>
          </w:tcPr>
          <w:p>
            <w:pPr>
              <w:jc w:val="center"/>
            </w:pPr>
            <w:r>
              <w:rPr>
                <w:rFonts w:ascii="Arial" w:hAnsi="Arial"/>
                <w:color w:val="000000"/>
                <w:sz w:val="17"/>
              </w:rPr>
              <w:t>19.2931</w:t>
            </w:r>
          </w:p>
        </w:tc>
        <w:tc>
          <w:tcPr>
            <w:tcW w:type="dxa" w:w="1337"/>
            <w:shd w:fill="FFFFFF"/>
            <w:tcMar>
              <w:top w:w="70" w:type="dxa"/>
              <w:bottom w:w="70" w:type="dxa"/>
              <w:left w:w="80" w:type="dxa"/>
              <w:right w:w="80" w:type="dxa"/>
            </w:tcMar>
          </w:tcPr>
          <w:p>
            <w:pPr>
              <w:jc w:val="center"/>
            </w:pPr>
            <w:r>
              <w:rPr>
                <w:rFonts w:ascii="Arial" w:hAnsi="Arial"/>
                <w:color w:val="000000"/>
                <w:sz w:val="17"/>
              </w:rPr>
              <w:t>-0.1245</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t+2</w:t>
            </w:r>
          </w:p>
        </w:tc>
        <w:tc>
          <w:tcPr>
            <w:tcW w:type="dxa" w:w="1337"/>
            <w:shd w:fill="FFFFFF"/>
            <w:tcMar>
              <w:top w:w="70" w:type="dxa"/>
              <w:bottom w:w="70" w:type="dxa"/>
              <w:left w:w="80" w:type="dxa"/>
              <w:right w:w="80" w:type="dxa"/>
            </w:tcMar>
          </w:tcPr>
          <w:p>
            <w:pPr>
              <w:jc w:val="center"/>
            </w:pPr>
            <w:r>
              <w:rPr>
                <w:rFonts w:ascii="Arial" w:hAnsi="Arial"/>
                <w:color w:val="000000"/>
                <w:sz w:val="17"/>
              </w:rPr>
              <w:t>4.1610</w:t>
            </w:r>
          </w:p>
        </w:tc>
        <w:tc>
          <w:tcPr>
            <w:tcW w:type="dxa" w:w="1337"/>
            <w:shd w:fill="FFFFFF"/>
            <w:tcMar>
              <w:top w:w="70" w:type="dxa"/>
              <w:bottom w:w="70" w:type="dxa"/>
              <w:left w:w="80" w:type="dxa"/>
              <w:right w:w="80" w:type="dxa"/>
            </w:tcMar>
          </w:tcPr>
          <w:p>
            <w:pPr>
              <w:jc w:val="center"/>
            </w:pPr>
            <w:r>
              <w:rPr>
                <w:rFonts w:ascii="Arial" w:hAnsi="Arial"/>
                <w:color w:val="000000"/>
                <w:sz w:val="17"/>
              </w:rPr>
              <w:t>11.2100</w:t>
            </w:r>
          </w:p>
        </w:tc>
        <w:tc>
          <w:tcPr>
            <w:tcW w:type="dxa" w:w="1337"/>
            <w:shd w:fill="FFFFFF"/>
            <w:tcMar>
              <w:top w:w="70" w:type="dxa"/>
              <w:bottom w:w="70" w:type="dxa"/>
              <w:left w:w="80" w:type="dxa"/>
              <w:right w:w="80" w:type="dxa"/>
            </w:tcMar>
          </w:tcPr>
          <w:p>
            <w:pPr>
              <w:jc w:val="center"/>
            </w:pPr>
            <w:r>
              <w:rPr>
                <w:rFonts w:ascii="Arial" w:hAnsi="Arial"/>
                <w:color w:val="000000"/>
                <w:sz w:val="17"/>
              </w:rPr>
              <w:t>0.6120</w:t>
            </w:r>
          </w:p>
        </w:tc>
        <w:tc>
          <w:tcPr>
            <w:tcW w:type="dxa" w:w="1337"/>
            <w:shd w:fill="FFFFFF"/>
            <w:tcMar>
              <w:top w:w="70" w:type="dxa"/>
              <w:bottom w:w="70" w:type="dxa"/>
              <w:left w:w="80" w:type="dxa"/>
              <w:right w:w="80" w:type="dxa"/>
            </w:tcMar>
          </w:tcPr>
          <w:p>
            <w:pPr>
              <w:jc w:val="center"/>
            </w:pPr>
            <w:r>
              <w:rPr>
                <w:rFonts w:ascii="Arial" w:hAnsi="Arial"/>
                <w:color w:val="000000"/>
                <w:sz w:val="17"/>
              </w:rPr>
              <w:t>6.7846</w:t>
            </w:r>
          </w:p>
        </w:tc>
        <w:tc>
          <w:tcPr>
            <w:tcW w:type="dxa" w:w="1337"/>
            <w:shd w:fill="FFFFFF"/>
            <w:tcMar>
              <w:top w:w="70" w:type="dxa"/>
              <w:bottom w:w="70" w:type="dxa"/>
              <w:left w:w="80" w:type="dxa"/>
              <w:right w:w="80" w:type="dxa"/>
            </w:tcMar>
          </w:tcPr>
          <w:p>
            <w:pPr>
              <w:jc w:val="center"/>
            </w:pPr>
            <w:r>
              <w:rPr>
                <w:rFonts w:ascii="Arial" w:hAnsi="Arial"/>
                <w:color w:val="000000"/>
                <w:sz w:val="17"/>
              </w:rPr>
              <w:t>19.2977</w:t>
            </w:r>
          </w:p>
        </w:tc>
        <w:tc>
          <w:tcPr>
            <w:tcW w:type="dxa" w:w="1337"/>
            <w:shd w:fill="FFFFFF"/>
            <w:tcMar>
              <w:top w:w="70" w:type="dxa"/>
              <w:bottom w:w="70" w:type="dxa"/>
              <w:left w:w="80" w:type="dxa"/>
              <w:right w:w="80" w:type="dxa"/>
            </w:tcMar>
          </w:tcPr>
          <w:p>
            <w:pPr>
              <w:jc w:val="center"/>
            </w:pPr>
            <w:r>
              <w:rPr>
                <w:rFonts w:ascii="Arial" w:hAnsi="Arial"/>
                <w:color w:val="000000"/>
                <w:sz w:val="17"/>
              </w:rPr>
              <w:t>-0.1248</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t+3</w:t>
            </w:r>
          </w:p>
        </w:tc>
        <w:tc>
          <w:tcPr>
            <w:tcW w:type="dxa" w:w="1337"/>
            <w:shd w:fill="FFFFFF"/>
            <w:tcMar>
              <w:top w:w="70" w:type="dxa"/>
              <w:bottom w:w="70" w:type="dxa"/>
              <w:left w:w="80" w:type="dxa"/>
              <w:right w:w="80" w:type="dxa"/>
            </w:tcMar>
          </w:tcPr>
          <w:p>
            <w:pPr>
              <w:jc w:val="center"/>
            </w:pPr>
            <w:r>
              <w:rPr>
                <w:rFonts w:ascii="Arial" w:hAnsi="Arial"/>
                <w:color w:val="000000"/>
                <w:sz w:val="17"/>
              </w:rPr>
              <w:t>4.1680</w:t>
            </w:r>
          </w:p>
        </w:tc>
        <w:tc>
          <w:tcPr>
            <w:tcW w:type="dxa" w:w="1337"/>
            <w:shd w:fill="FFFFFF"/>
            <w:tcMar>
              <w:top w:w="70" w:type="dxa"/>
              <w:bottom w:w="70" w:type="dxa"/>
              <w:left w:w="80" w:type="dxa"/>
              <w:right w:w="80" w:type="dxa"/>
            </w:tcMar>
          </w:tcPr>
          <w:p>
            <w:pPr>
              <w:jc w:val="center"/>
            </w:pPr>
            <w:r>
              <w:rPr>
                <w:rFonts w:ascii="Arial" w:hAnsi="Arial"/>
                <w:color w:val="000000"/>
                <w:sz w:val="17"/>
              </w:rPr>
              <w:t>11.2250</w:t>
            </w:r>
          </w:p>
        </w:tc>
        <w:tc>
          <w:tcPr>
            <w:tcW w:type="dxa" w:w="1337"/>
            <w:shd w:fill="FFFFFF"/>
            <w:tcMar>
              <w:top w:w="70" w:type="dxa"/>
              <w:bottom w:w="70" w:type="dxa"/>
              <w:left w:w="80" w:type="dxa"/>
              <w:right w:w="80" w:type="dxa"/>
            </w:tcMar>
          </w:tcPr>
          <w:p>
            <w:pPr>
              <w:jc w:val="center"/>
            </w:pPr>
            <w:r>
              <w:rPr>
                <w:rFonts w:ascii="Arial" w:hAnsi="Arial"/>
                <w:color w:val="000000"/>
                <w:sz w:val="17"/>
              </w:rPr>
              <w:t>0.6185</w:t>
            </w:r>
          </w:p>
        </w:tc>
        <w:tc>
          <w:tcPr>
            <w:tcW w:type="dxa" w:w="1337"/>
            <w:shd w:fill="FFFFFF"/>
            <w:tcMar>
              <w:top w:w="70" w:type="dxa"/>
              <w:bottom w:w="70" w:type="dxa"/>
              <w:left w:w="80" w:type="dxa"/>
              <w:right w:w="80" w:type="dxa"/>
            </w:tcMar>
          </w:tcPr>
          <w:p>
            <w:pPr>
              <w:jc w:val="center"/>
            </w:pPr>
            <w:r>
              <w:rPr>
                <w:rFonts w:ascii="Arial" w:hAnsi="Arial"/>
                <w:color w:val="000000"/>
                <w:sz w:val="17"/>
              </w:rPr>
              <w:t>6.6766</w:t>
            </w:r>
          </w:p>
        </w:tc>
        <w:tc>
          <w:tcPr>
            <w:tcW w:type="dxa" w:w="1337"/>
            <w:shd w:fill="FFFFFF"/>
            <w:tcMar>
              <w:top w:w="70" w:type="dxa"/>
              <w:bottom w:w="70" w:type="dxa"/>
              <w:left w:w="80" w:type="dxa"/>
              <w:right w:w="80" w:type="dxa"/>
            </w:tcMar>
          </w:tcPr>
          <w:p>
            <w:pPr>
              <w:jc w:val="center"/>
            </w:pPr>
            <w:r>
              <w:rPr>
                <w:rFonts w:ascii="Arial" w:hAnsi="Arial"/>
                <w:color w:val="000000"/>
                <w:sz w:val="17"/>
              </w:rPr>
              <w:t>19.3371</w:t>
            </w:r>
          </w:p>
        </w:tc>
        <w:tc>
          <w:tcPr>
            <w:tcW w:type="dxa" w:w="1337"/>
            <w:shd w:fill="FFFFFF"/>
            <w:tcMar>
              <w:top w:w="70" w:type="dxa"/>
              <w:bottom w:w="70" w:type="dxa"/>
              <w:left w:w="80" w:type="dxa"/>
              <w:right w:w="80" w:type="dxa"/>
            </w:tcMar>
          </w:tcPr>
          <w:p>
            <w:pPr>
              <w:jc w:val="center"/>
            </w:pPr>
            <w:r>
              <w:rPr>
                <w:rFonts w:ascii="Arial" w:hAnsi="Arial"/>
                <w:color w:val="000000"/>
                <w:sz w:val="17"/>
              </w:rPr>
              <w:t>-0.1290</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t+4</w:t>
            </w:r>
          </w:p>
        </w:tc>
        <w:tc>
          <w:tcPr>
            <w:tcW w:type="dxa" w:w="1337"/>
            <w:shd w:fill="FFFFFF"/>
            <w:tcMar>
              <w:top w:w="70" w:type="dxa"/>
              <w:bottom w:w="70" w:type="dxa"/>
              <w:left w:w="80" w:type="dxa"/>
              <w:right w:w="80" w:type="dxa"/>
            </w:tcMar>
          </w:tcPr>
          <w:p>
            <w:pPr>
              <w:jc w:val="center"/>
            </w:pPr>
            <w:r>
              <w:rPr>
                <w:rFonts w:ascii="Arial" w:hAnsi="Arial"/>
                <w:color w:val="000000"/>
                <w:sz w:val="17"/>
              </w:rPr>
              <w:t>4.1730</w:t>
            </w:r>
          </w:p>
        </w:tc>
        <w:tc>
          <w:tcPr>
            <w:tcW w:type="dxa" w:w="1337"/>
            <w:shd w:fill="FFFFFF"/>
            <w:tcMar>
              <w:top w:w="70" w:type="dxa"/>
              <w:bottom w:w="70" w:type="dxa"/>
              <w:left w:w="80" w:type="dxa"/>
              <w:right w:w="80" w:type="dxa"/>
            </w:tcMar>
          </w:tcPr>
          <w:p>
            <w:pPr>
              <w:jc w:val="center"/>
            </w:pPr>
            <w:r>
              <w:rPr>
                <w:rFonts w:ascii="Arial" w:hAnsi="Arial"/>
                <w:color w:val="000000"/>
                <w:sz w:val="17"/>
              </w:rPr>
              <w:t>11.2400</w:t>
            </w:r>
          </w:p>
        </w:tc>
        <w:tc>
          <w:tcPr>
            <w:tcW w:type="dxa" w:w="1337"/>
            <w:shd w:fill="FFFFFF"/>
            <w:tcMar>
              <w:top w:w="70" w:type="dxa"/>
              <w:bottom w:w="70" w:type="dxa"/>
              <w:left w:w="80" w:type="dxa"/>
              <w:right w:w="80" w:type="dxa"/>
            </w:tcMar>
          </w:tcPr>
          <w:p>
            <w:pPr>
              <w:jc w:val="center"/>
            </w:pPr>
            <w:r>
              <w:rPr>
                <w:rFonts w:ascii="Arial" w:hAnsi="Arial"/>
                <w:color w:val="000000"/>
                <w:sz w:val="17"/>
              </w:rPr>
              <w:t>0.6210</w:t>
            </w:r>
          </w:p>
        </w:tc>
        <w:tc>
          <w:tcPr>
            <w:tcW w:type="dxa" w:w="1337"/>
            <w:shd w:fill="FFFFFF"/>
            <w:tcMar>
              <w:top w:w="70" w:type="dxa"/>
              <w:bottom w:w="70" w:type="dxa"/>
              <w:left w:w="80" w:type="dxa"/>
              <w:right w:w="80" w:type="dxa"/>
            </w:tcMar>
          </w:tcPr>
          <w:p>
            <w:pPr>
              <w:jc w:val="center"/>
            </w:pPr>
            <w:r>
              <w:rPr>
                <w:rFonts w:ascii="Arial" w:hAnsi="Arial"/>
                <w:color w:val="000000"/>
                <w:sz w:val="17"/>
              </w:rPr>
              <w:t>6.6672</w:t>
            </w:r>
          </w:p>
        </w:tc>
        <w:tc>
          <w:tcPr>
            <w:tcW w:type="dxa" w:w="1337"/>
            <w:shd w:fill="FFFFFF"/>
            <w:tcMar>
              <w:top w:w="70" w:type="dxa"/>
              <w:bottom w:w="70" w:type="dxa"/>
              <w:left w:w="80" w:type="dxa"/>
              <w:right w:w="80" w:type="dxa"/>
            </w:tcMar>
          </w:tcPr>
          <w:p>
            <w:pPr>
              <w:jc w:val="center"/>
            </w:pPr>
            <w:r>
              <w:rPr>
                <w:rFonts w:ascii="Arial" w:hAnsi="Arial"/>
                <w:color w:val="000000"/>
                <w:sz w:val="17"/>
              </w:rPr>
              <w:t>19.2835</w:t>
            </w:r>
          </w:p>
        </w:tc>
        <w:tc>
          <w:tcPr>
            <w:tcW w:type="dxa" w:w="1337"/>
            <w:shd w:fill="FFFFFF"/>
            <w:tcMar>
              <w:top w:w="70" w:type="dxa"/>
              <w:bottom w:w="70" w:type="dxa"/>
              <w:left w:w="80" w:type="dxa"/>
              <w:right w:w="80" w:type="dxa"/>
            </w:tcMar>
          </w:tcPr>
          <w:p>
            <w:pPr>
              <w:jc w:val="center"/>
            </w:pPr>
            <w:r>
              <w:rPr>
                <w:rFonts w:ascii="Arial" w:hAnsi="Arial"/>
                <w:color w:val="000000"/>
                <w:sz w:val="17"/>
              </w:rPr>
              <w:t>-0.1221</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t+5</w:t>
            </w:r>
          </w:p>
        </w:tc>
        <w:tc>
          <w:tcPr>
            <w:tcW w:type="dxa" w:w="1337"/>
            <w:shd w:fill="FFFFFF"/>
            <w:tcMar>
              <w:top w:w="70" w:type="dxa"/>
              <w:bottom w:w="70" w:type="dxa"/>
              <w:left w:w="80" w:type="dxa"/>
              <w:right w:w="80" w:type="dxa"/>
            </w:tcMar>
          </w:tcPr>
          <w:p>
            <w:pPr>
              <w:jc w:val="center"/>
            </w:pPr>
            <w:r>
              <w:rPr>
                <w:rFonts w:ascii="Arial" w:hAnsi="Arial"/>
                <w:color w:val="000000"/>
                <w:sz w:val="17"/>
              </w:rPr>
              <w:t>4.1790</w:t>
            </w:r>
          </w:p>
        </w:tc>
        <w:tc>
          <w:tcPr>
            <w:tcW w:type="dxa" w:w="1337"/>
            <w:shd w:fill="FFFFFF"/>
            <w:tcMar>
              <w:top w:w="70" w:type="dxa"/>
              <w:bottom w:w="70" w:type="dxa"/>
              <w:left w:w="80" w:type="dxa"/>
              <w:right w:w="80" w:type="dxa"/>
            </w:tcMar>
          </w:tcPr>
          <w:p>
            <w:pPr>
              <w:jc w:val="center"/>
            </w:pPr>
            <w:r>
              <w:rPr>
                <w:rFonts w:ascii="Arial" w:hAnsi="Arial"/>
                <w:color w:val="000000"/>
                <w:sz w:val="17"/>
              </w:rPr>
              <w:t>11.2520</w:t>
            </w:r>
          </w:p>
        </w:tc>
        <w:tc>
          <w:tcPr>
            <w:tcW w:type="dxa" w:w="1337"/>
            <w:shd w:fill="FFFFFF"/>
            <w:tcMar>
              <w:top w:w="70" w:type="dxa"/>
              <w:bottom w:w="70" w:type="dxa"/>
              <w:left w:w="80" w:type="dxa"/>
              <w:right w:w="80" w:type="dxa"/>
            </w:tcMar>
          </w:tcPr>
          <w:p>
            <w:pPr>
              <w:jc w:val="center"/>
            </w:pPr>
            <w:r>
              <w:rPr>
                <w:rFonts w:ascii="Arial" w:hAnsi="Arial"/>
                <w:color w:val="000000"/>
                <w:sz w:val="17"/>
              </w:rPr>
              <w:t>0.6305</w:t>
            </w:r>
          </w:p>
        </w:tc>
        <w:tc>
          <w:tcPr>
            <w:tcW w:type="dxa" w:w="1337"/>
            <w:shd w:fill="FFFFFF"/>
            <w:tcMar>
              <w:top w:w="70" w:type="dxa"/>
              <w:bottom w:w="70" w:type="dxa"/>
              <w:left w:w="80" w:type="dxa"/>
              <w:right w:w="80" w:type="dxa"/>
            </w:tcMar>
          </w:tcPr>
          <w:p>
            <w:pPr>
              <w:jc w:val="center"/>
            </w:pPr>
            <w:r>
              <w:rPr>
                <w:rFonts w:ascii="Arial" w:hAnsi="Arial"/>
                <w:color w:val="000000"/>
                <w:sz w:val="17"/>
              </w:rPr>
              <w:t>6.6865</w:t>
            </w:r>
          </w:p>
        </w:tc>
        <w:tc>
          <w:tcPr>
            <w:tcW w:type="dxa" w:w="1337"/>
            <w:shd w:fill="FFFFFF"/>
            <w:tcMar>
              <w:top w:w="70" w:type="dxa"/>
              <w:bottom w:w="70" w:type="dxa"/>
              <w:left w:w="80" w:type="dxa"/>
              <w:right w:w="80" w:type="dxa"/>
            </w:tcMar>
          </w:tcPr>
          <w:p>
            <w:pPr>
              <w:jc w:val="center"/>
            </w:pPr>
            <w:r>
              <w:rPr>
                <w:rFonts w:ascii="Arial" w:hAnsi="Arial"/>
                <w:color w:val="000000"/>
                <w:sz w:val="17"/>
              </w:rPr>
              <w:t>19.2778</w:t>
            </w:r>
          </w:p>
        </w:tc>
        <w:tc>
          <w:tcPr>
            <w:tcW w:type="dxa" w:w="1337"/>
            <w:shd w:fill="FFFFFF"/>
            <w:tcMar>
              <w:top w:w="70" w:type="dxa"/>
              <w:bottom w:w="70" w:type="dxa"/>
              <w:left w:w="80" w:type="dxa"/>
              <w:right w:w="80" w:type="dxa"/>
            </w:tcMar>
          </w:tcPr>
          <w:p>
            <w:pPr>
              <w:jc w:val="center"/>
            </w:pPr>
            <w:r>
              <w:rPr>
                <w:rFonts w:ascii="Arial" w:hAnsi="Arial"/>
                <w:color w:val="000000"/>
                <w:sz w:val="17"/>
              </w:rPr>
              <w:t>-0.1197</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t+6</w:t>
            </w:r>
          </w:p>
        </w:tc>
        <w:tc>
          <w:tcPr>
            <w:tcW w:type="dxa" w:w="1337"/>
            <w:shd w:fill="FFFFFF"/>
            <w:tcMar>
              <w:top w:w="70" w:type="dxa"/>
              <w:bottom w:w="70" w:type="dxa"/>
              <w:left w:w="80" w:type="dxa"/>
              <w:right w:w="80" w:type="dxa"/>
            </w:tcMar>
          </w:tcPr>
          <w:p>
            <w:pPr>
              <w:jc w:val="center"/>
            </w:pPr>
            <w:r>
              <w:rPr>
                <w:rFonts w:ascii="Arial" w:hAnsi="Arial"/>
                <w:color w:val="000000"/>
                <w:sz w:val="17"/>
              </w:rPr>
              <w:t>4.1820</w:t>
            </w:r>
          </w:p>
        </w:tc>
        <w:tc>
          <w:tcPr>
            <w:tcW w:type="dxa" w:w="1337"/>
            <w:shd w:fill="FFFFFF"/>
            <w:tcMar>
              <w:top w:w="70" w:type="dxa"/>
              <w:bottom w:w="70" w:type="dxa"/>
              <w:left w:w="80" w:type="dxa"/>
              <w:right w:w="80" w:type="dxa"/>
            </w:tcMar>
          </w:tcPr>
          <w:p>
            <w:pPr>
              <w:jc w:val="center"/>
            </w:pPr>
            <w:r>
              <w:rPr>
                <w:rFonts w:ascii="Arial" w:hAnsi="Arial"/>
                <w:color w:val="000000"/>
                <w:sz w:val="17"/>
              </w:rPr>
              <w:t>11.2650</w:t>
            </w:r>
          </w:p>
        </w:tc>
        <w:tc>
          <w:tcPr>
            <w:tcW w:type="dxa" w:w="1337"/>
            <w:shd w:fill="FFFFFF"/>
            <w:tcMar>
              <w:top w:w="70" w:type="dxa"/>
              <w:bottom w:w="70" w:type="dxa"/>
              <w:left w:w="80" w:type="dxa"/>
              <w:right w:w="80" w:type="dxa"/>
            </w:tcMar>
          </w:tcPr>
          <w:p>
            <w:pPr>
              <w:jc w:val="center"/>
            </w:pPr>
            <w:r>
              <w:rPr>
                <w:rFonts w:ascii="Arial" w:hAnsi="Arial"/>
                <w:color w:val="000000"/>
                <w:sz w:val="17"/>
              </w:rPr>
              <w:t>0.6380</w:t>
            </w:r>
          </w:p>
        </w:tc>
        <w:tc>
          <w:tcPr>
            <w:tcW w:type="dxa" w:w="1337"/>
            <w:shd w:fill="FFFFFF"/>
            <w:tcMar>
              <w:top w:w="70" w:type="dxa"/>
              <w:bottom w:w="70" w:type="dxa"/>
              <w:left w:w="80" w:type="dxa"/>
              <w:right w:w="80" w:type="dxa"/>
            </w:tcMar>
          </w:tcPr>
          <w:p>
            <w:pPr>
              <w:jc w:val="center"/>
            </w:pPr>
            <w:r>
              <w:rPr>
                <w:rFonts w:ascii="Arial" w:hAnsi="Arial"/>
                <w:color w:val="000000"/>
                <w:sz w:val="17"/>
              </w:rPr>
              <w:t>6.7186</w:t>
            </w:r>
          </w:p>
        </w:tc>
        <w:tc>
          <w:tcPr>
            <w:tcW w:type="dxa" w:w="1337"/>
            <w:shd w:fill="FFFFFF"/>
            <w:tcMar>
              <w:top w:w="70" w:type="dxa"/>
              <w:bottom w:w="70" w:type="dxa"/>
              <w:left w:w="80" w:type="dxa"/>
              <w:right w:w="80" w:type="dxa"/>
            </w:tcMar>
          </w:tcPr>
          <w:p>
            <w:pPr>
              <w:jc w:val="center"/>
            </w:pPr>
            <w:r>
              <w:rPr>
                <w:rFonts w:ascii="Arial" w:hAnsi="Arial"/>
                <w:color w:val="000000"/>
                <w:sz w:val="17"/>
              </w:rPr>
              <w:t>19.3533</w:t>
            </w:r>
          </w:p>
        </w:tc>
        <w:tc>
          <w:tcPr>
            <w:tcW w:type="dxa" w:w="1337"/>
            <w:shd w:fill="FFFFFF"/>
            <w:tcMar>
              <w:top w:w="70" w:type="dxa"/>
              <w:bottom w:w="70" w:type="dxa"/>
              <w:left w:w="80" w:type="dxa"/>
              <w:right w:w="80" w:type="dxa"/>
            </w:tcMar>
          </w:tcPr>
          <w:p>
            <w:pPr>
              <w:jc w:val="center"/>
            </w:pPr>
            <w:r>
              <w:rPr>
                <w:rFonts w:ascii="Arial" w:hAnsi="Arial"/>
                <w:color w:val="000000"/>
                <w:sz w:val="17"/>
              </w:rPr>
              <w:t>-0.1271</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t+7</w:t>
            </w:r>
          </w:p>
        </w:tc>
        <w:tc>
          <w:tcPr>
            <w:tcW w:type="dxa" w:w="1337"/>
            <w:shd w:fill="FFFFFF"/>
            <w:tcMar>
              <w:top w:w="70" w:type="dxa"/>
              <w:bottom w:w="70" w:type="dxa"/>
              <w:left w:w="80" w:type="dxa"/>
              <w:right w:w="80" w:type="dxa"/>
            </w:tcMar>
          </w:tcPr>
          <w:p>
            <w:pPr>
              <w:jc w:val="center"/>
            </w:pPr>
            <w:r>
              <w:rPr>
                <w:rFonts w:ascii="Arial" w:hAnsi="Arial"/>
                <w:color w:val="000000"/>
                <w:sz w:val="17"/>
              </w:rPr>
              <w:t>4.1718</w:t>
            </w:r>
          </w:p>
        </w:tc>
        <w:tc>
          <w:tcPr>
            <w:tcW w:type="dxa" w:w="1337"/>
            <w:shd w:fill="FFFFFF"/>
            <w:tcMar>
              <w:top w:w="70" w:type="dxa"/>
              <w:bottom w:w="70" w:type="dxa"/>
              <w:left w:w="80" w:type="dxa"/>
              <w:right w:w="80" w:type="dxa"/>
            </w:tcMar>
          </w:tcPr>
          <w:p>
            <w:pPr>
              <w:jc w:val="center"/>
            </w:pPr>
            <w:r>
              <w:rPr>
                <w:rFonts w:ascii="Arial" w:hAnsi="Arial"/>
                <w:color w:val="000000"/>
                <w:sz w:val="17"/>
              </w:rPr>
              <w:t>11.2358</w:t>
            </w:r>
          </w:p>
        </w:tc>
        <w:tc>
          <w:tcPr>
            <w:tcW w:type="dxa" w:w="1337"/>
            <w:shd w:fill="FFFFFF"/>
            <w:tcMar>
              <w:top w:w="70" w:type="dxa"/>
              <w:bottom w:w="70" w:type="dxa"/>
              <w:left w:w="80" w:type="dxa"/>
              <w:right w:w="80" w:type="dxa"/>
            </w:tcMar>
          </w:tcPr>
          <w:p>
            <w:pPr>
              <w:jc w:val="center"/>
            </w:pPr>
            <w:r>
              <w:rPr>
                <w:rFonts w:ascii="Arial" w:hAnsi="Arial"/>
                <w:color w:val="000000"/>
                <w:sz w:val="17"/>
              </w:rPr>
              <w:t>0.6469</w:t>
            </w:r>
          </w:p>
        </w:tc>
        <w:tc>
          <w:tcPr>
            <w:tcW w:type="dxa" w:w="1337"/>
            <w:shd w:fill="FFFFFF"/>
            <w:tcMar>
              <w:top w:w="70" w:type="dxa"/>
              <w:bottom w:w="70" w:type="dxa"/>
              <w:left w:w="80" w:type="dxa"/>
              <w:right w:w="80" w:type="dxa"/>
            </w:tcMar>
          </w:tcPr>
          <w:p>
            <w:pPr>
              <w:jc w:val="center"/>
            </w:pPr>
            <w:r>
              <w:rPr>
                <w:rFonts w:ascii="Arial" w:hAnsi="Arial"/>
                <w:color w:val="000000"/>
                <w:sz w:val="17"/>
              </w:rPr>
              <w:t>6.7181</w:t>
            </w:r>
          </w:p>
        </w:tc>
        <w:tc>
          <w:tcPr>
            <w:tcW w:type="dxa" w:w="1337"/>
            <w:shd w:fill="FFFFFF"/>
            <w:tcMar>
              <w:top w:w="70" w:type="dxa"/>
              <w:bottom w:w="70" w:type="dxa"/>
              <w:left w:w="80" w:type="dxa"/>
              <w:right w:w="80" w:type="dxa"/>
            </w:tcMar>
          </w:tcPr>
          <w:p>
            <w:pPr>
              <w:jc w:val="center"/>
            </w:pPr>
            <w:r>
              <w:rPr>
                <w:rFonts w:ascii="Arial" w:hAnsi="Arial"/>
                <w:color w:val="000000"/>
                <w:sz w:val="17"/>
              </w:rPr>
              <w:t>19.3258</w:t>
            </w:r>
          </w:p>
        </w:tc>
        <w:tc>
          <w:tcPr>
            <w:tcW w:type="dxa" w:w="1337"/>
            <w:shd w:fill="FFFFFF"/>
            <w:tcMar>
              <w:top w:w="70" w:type="dxa"/>
              <w:bottom w:w="70" w:type="dxa"/>
              <w:left w:w="80" w:type="dxa"/>
              <w:right w:w="80" w:type="dxa"/>
            </w:tcMar>
          </w:tcPr>
          <w:p>
            <w:pPr>
              <w:jc w:val="center"/>
            </w:pPr>
            <w:r>
              <w:rPr>
                <w:rFonts w:ascii="Arial" w:hAnsi="Arial"/>
                <w:color w:val="000000"/>
                <w:sz w:val="17"/>
              </w:rPr>
              <w:t>-0.1224</w:t>
            </w:r>
          </w:p>
        </w:tc>
      </w:tr>
    </w:tbl>
    <w:p>
      <w:pPr>
        <w:spacing w:after="200"/>
      </w:pPr>
    </w:p>
    <w:p>
      <w:pPr>
        <w:spacing w:after="120" w:line="276" w:lineRule="auto"/>
      </w:pPr>
      <w:r>
        <w:rPr>
          <w:rFonts w:ascii="Arial" w:hAnsi="Arial"/>
          <w:color w:val="000000"/>
          <w:sz w:val="22"/>
        </w:rPr>
        <w:t>Table 3: Multi-horizon forecasting accuracy breakdown (t+1 to t+7 days) on original case scale comparing EpiST-Former with Random Forest.</w:t>
      </w:r>
    </w:p>
    <w:p>
      <w:pPr>
        <w:spacing w:before="280" w:after="120"/>
      </w:pPr>
      <w:r>
        <w:rPr>
          <w:rFonts w:ascii="Arial" w:hAnsi="Arial"/>
          <w:b/>
          <w:color w:val="000000"/>
          <w:sz w:val="28"/>
        </w:rPr>
        <w:t>5. Conclusions</w:t>
      </w:r>
    </w:p>
    <w:p>
      <w:pPr>
        <w:spacing w:after="120" w:line="276" w:lineRule="auto"/>
      </w:pPr>
      <w:r>
        <w:rPr>
          <w:rFonts w:ascii="Arial" w:hAnsi="Arial"/>
          <w:color w:val="000000"/>
          <w:sz w:val="22"/>
        </w:rPr>
        <w:t>EpiST-Shield bridges the critical operational gap between deep learning epidemiological forecasting and prospective healthcare resource allocation in Bangladesh. By combining an asynchronous FastAPI backend, a pre-trained EpiST-Former model, dynamic weather stress-testing, and automated hospital supply planning, EpiST-Shield enables health authorities to pre-position isolation beds and medical dispatches up to 30 days ahead of outbreak surges. The platform is open-source, publicly deployed at https://dengu-forcasting.vercel.app/, and offers an extensible foundation for national disease surveillance.</w:t>
      </w:r>
    </w:p>
    <w:p>
      <w:pPr>
        <w:spacing w:before="280" w:after="120"/>
      </w:pPr>
      <w:r>
        <w:rPr>
          <w:rFonts w:ascii="Arial" w:hAnsi="Arial"/>
          <w:b/>
          <w:color w:val="000000"/>
          <w:sz w:val="28"/>
        </w:rPr>
        <w:t>Acknowledgements</w:t>
      </w:r>
    </w:p>
    <w:p>
      <w:pPr>
        <w:spacing w:after="120" w:line="276" w:lineRule="auto"/>
      </w:pPr>
      <w:r>
        <w:rPr>
          <w:rFonts w:ascii="Arial" w:hAnsi="Arial"/>
          <w:color w:val="000000"/>
          <w:sz w:val="22"/>
        </w:rPr>
        <w:t>The author acknowledges the Directorate General of Health Services (DGHS), the Bangladesh Meteorological Department (BMD), and the NASA POWER Project for providing open epidemiological and climate surveillance data.</w:t>
      </w:r>
    </w:p>
    <w:p>
      <w:pPr>
        <w:spacing w:before="280" w:after="120"/>
      </w:pPr>
      <w:r>
        <w:rPr>
          <w:rFonts w:ascii="Arial" w:hAnsi="Arial"/>
          <w:b/>
          <w:color w:val="000000"/>
          <w:sz w:val="28"/>
        </w:rPr>
        <w:t>Declaration of competing interest</w:t>
      </w:r>
    </w:p>
    <w:p>
      <w:pPr>
        <w:spacing w:after="120" w:line="276" w:lineRule="auto"/>
      </w:pPr>
      <w:r>
        <w:rPr>
          <w:rFonts w:ascii="Arial" w:hAnsi="Arial"/>
          <w:color w:val="000000"/>
          <w:sz w:val="22"/>
        </w:rPr>
        <w:t>The authors declare that they have no known competing financial interests or personal relationships that could have appeared to influence the work reported in this paper.</w:t>
      </w:r>
    </w:p>
    <w:p>
      <w:pPr>
        <w:spacing w:before="280" w:after="120"/>
      </w:pPr>
      <w:r>
        <w:rPr>
          <w:rFonts w:ascii="Arial" w:hAnsi="Arial"/>
          <w:b/>
          <w:color w:val="000000"/>
          <w:sz w:val="28"/>
        </w:rPr>
        <w:t>CRediT authorship contribution statement</w:t>
      </w:r>
    </w:p>
    <w:p>
      <w:pPr>
        <w:spacing w:after="120" w:line="276" w:lineRule="auto"/>
      </w:pPr>
      <w:r>
        <w:rPr>
          <w:rFonts w:ascii="Arial" w:hAnsi="Arial"/>
          <w:color w:val="000000"/>
          <w:sz w:val="22"/>
        </w:rPr>
        <w:t>Md. Mosharrof Hossain: Conceptualization, Software, Methodology, Writing – original draft, Data curation, Validation.</w:t>
      </w:r>
    </w:p>
    <w:p>
      <w:pPr>
        <w:spacing w:before="280" w:after="120"/>
      </w:pPr>
      <w:r>
        <w:rPr>
          <w:rFonts w:ascii="Arial" w:hAnsi="Arial"/>
          <w:b/>
          <w:color w:val="000000"/>
          <w:sz w:val="28"/>
        </w:rPr>
        <w:t>References</w:t>
      </w:r>
    </w:p>
    <w:p>
      <w:pPr>
        <w:spacing w:after="120" w:line="276" w:lineRule="auto"/>
      </w:pPr>
      <w:r>
        <w:rPr>
          <w:rFonts w:ascii="Arial" w:hAnsi="Arial"/>
          <w:color w:val="000000"/>
          <w:sz w:val="22"/>
        </w:rPr>
        <w:t>[1] World Health Organization. Dengue and severe dengue. WHO fact sheet; updated 2024. Available from: https://www.who.int/news-room/fact-sheets/detail/dengue-and-severe-dengue</w:t>
      </w:r>
    </w:p>
    <w:p>
      <w:pPr>
        <w:spacing w:after="120" w:line="276" w:lineRule="auto"/>
      </w:pPr>
      <w:r>
        <w:rPr>
          <w:rFonts w:ascii="Arial" w:hAnsi="Arial"/>
          <w:color w:val="000000"/>
          <w:sz w:val="22"/>
        </w:rPr>
        <w:t>[2] Directorate General of Health Services (DGHS), Ministry of Health and Family Welfare, Government of Bangladesh. Dengue Dynamic Dashboard, Health Emergency Operation Center &amp; Control Room; 2024. Available from: https://dashboard.dghs.gov.bd/pages/heoc_dengue_v1.php</w:t>
      </w:r>
    </w:p>
    <w:p>
      <w:pPr>
        <w:spacing w:after="120" w:line="276" w:lineRule="auto"/>
      </w:pPr>
      <w:r>
        <w:rPr>
          <w:rFonts w:ascii="Arial" w:hAnsi="Arial"/>
          <w:color w:val="000000"/>
          <w:sz w:val="22"/>
        </w:rPr>
        <w:t>[3] Salam T, Begum MN, Rahman M. Evaluating surveillance systems to understand dengue burden in Bangladesh: a narrative review. Discov Public Health. 2026;23:59. https://doi.org/10.1186/s12982-026-01376-5</w:t>
      </w:r>
    </w:p>
    <w:p>
      <w:pPr>
        <w:spacing w:after="120" w:line="276" w:lineRule="auto"/>
      </w:pPr>
      <w:r>
        <w:rPr>
          <w:rFonts w:ascii="Arial" w:hAnsi="Arial"/>
          <w:color w:val="000000"/>
          <w:sz w:val="22"/>
        </w:rPr>
        <w:t>[4] Ogieuhi IJ, Ahmed MM, Jamil S, Okesanya OJ, Ukoaka BM, Eshun G, Ogaya JB, Lucero-Prisno DE III. Dengue fever in Bangladesh: rising trends, contributing factors, and public health implications. Trop Dis Travel Med Vaccines. 2025;11. https://doi.org/10.1186/s40794-025-00251-6</w:t>
      </w:r>
    </w:p>
    <w:p>
      <w:pPr>
        <w:spacing w:after="120" w:line="276" w:lineRule="auto"/>
      </w:pPr>
      <w:r>
        <w:rPr>
          <w:rFonts w:ascii="Arial" w:hAnsi="Arial"/>
          <w:color w:val="000000"/>
          <w:sz w:val="22"/>
        </w:rPr>
        <w:t>[5] Rahman MS, Amrin M, Shiddik MAB. Dengue early warning system and outbreak prediction tool in Bangladesh using interpretable tree-based machine learning model. Health Sci Rep. 2025;8(5):e70726. https://doi.org/10.1002/hsr2.70726</w:t>
      </w:r>
    </w:p>
    <w:p>
      <w:pPr>
        <w:spacing w:after="120" w:line="276" w:lineRule="auto"/>
      </w:pPr>
      <w:r>
        <w:rPr>
          <w:rFonts w:ascii="Arial" w:hAnsi="Arial"/>
          <w:color w:val="000000"/>
          <w:sz w:val="22"/>
        </w:rPr>
        <w:t>[6] Alam KE, Ahmed MJ, Chalise R, Rahman MA, Mathin TT, Bhuiyan MIH, Bhandari P, Hossain D. Time series analysis of dengue incidence and its association with meteorological risk factors in Bangladesh. PLoS ONE. 2025;20(8):e0323238. https://doi.org/10.1371/journal.pone.0323238</w:t>
      </w:r>
    </w:p>
    <w:p>
      <w:pPr>
        <w:spacing w:after="120" w:line="276" w:lineRule="auto"/>
      </w:pPr>
      <w:r>
        <w:rPr>
          <w:rFonts w:ascii="Arial" w:hAnsi="Arial"/>
          <w:color w:val="000000"/>
          <w:sz w:val="22"/>
        </w:rPr>
        <w:t>[7] Bangladesh Meteorological Department (BMD). Historical Climate and Meteorological Database. Climate Division, BMD, Ministry of Defence, Government of Bangladesh; 2024. Available from: http://live.bmd.gov.bd/</w:t>
      </w:r>
    </w:p>
    <w:p>
      <w:pPr>
        <w:spacing w:after="120" w:line="276" w:lineRule="auto"/>
      </w:pPr>
      <w:r>
        <w:rPr>
          <w:rFonts w:ascii="Arial" w:hAnsi="Arial"/>
          <w:color w:val="000000"/>
          <w:sz w:val="22"/>
        </w:rPr>
        <w:t>[8] National Aeronautics and Space Administration (NASA). Prediction Of Worldwide Energy Resources (POWER) Data Archive. NASA Langley Research Center; 2024. Available from: https://power.larc.nasa.gov/</w:t>
      </w:r>
    </w:p>
    <w:p>
      <w:pPr>
        <w:spacing w:after="120" w:line="276" w:lineRule="auto"/>
      </w:pPr>
      <w:r>
        <w:rPr>
          <w:rFonts w:ascii="Arial" w:hAnsi="Arial"/>
          <w:color w:val="000000"/>
          <w:sz w:val="22"/>
        </w:rPr>
        <w:t>[9] Hossain MM, et al. EpiST-Former: A scale-adaptive physics-informed spatiotemporal transformer framework with meteorological gating for multi-horizon dengue outbreak forecasting in Bangladesh. Manuscript submitted for publication / arXiv preprint;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