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Editorial Review — Surrogate Screening of Trace Metals in Bangladesh Groundwater</w:t>
      </w:r>
    </w:p>
    <w:p>
      <w:pPr/>
      <w:r>
        <w:t xml:space="preserve">Oct 19, 2026</w:t>
      </w:r>
      <w:r>
        <w:t xml:space="preserve"> · </w:t>
      </w:r>
      <w:r>
        <w:t xml:space="preserve">@Mosharrof</w:t>
      </w:r>
    </w:p>
    <w:p>
      <w:pPr>
        <w:pStyle w:val="Heading2"/>
      </w:pPr>
      <w:r>
        <w:t xml:space="preserve">Editor's summary and recommendation</w:t>
      </w:r>
    </w:p>
    <w:p>
      <w:pPr/>
      <w:r>
        <w:rPr>
          <w:b/>
        </w:rPr>
        <w:t xml:space="preserve">Recommendation: Major revision.</w:t>
      </w:r>
      <w:r>
        <w:t xml:space="preserve"> The design is unusually honest for this literature (random vs spatial vs external validation, negative results reported, censoring audited), and the central message — </w:t>
      </w:r>
      <w:r>
        <w:rPr>
          <w:i/>
        </w:rPr>
        <w:t xml:space="preserve">ranking transfers, concentration does not</w:t>
      </w:r>
      <w:r>
        <w:t xml:space="preserve"> — is useful. But several headline numbers rest on analysis choices a Q1 reviewer will break: operating thresholds tuned on the external test set, conformal coverage that is below nominal where theory says it cannot be, R² computed after a biased back-transform, a censoring comparison that changes the ground truth between arms, and a redox classification that appears to mislabel ~65 wells as nitrate-reducing.</w:t>
      </w:r>
    </w:p>
    <w:p>
      <w:pPr/>
      <w:r>
        <w:t xml:space="preserve">On the groundwater side, the paper's own data partly falsify its stated hypothesis (Ni, Zn and Pb are almost uncensored yet unmodellable), the "field kit" tier is simulated with laboratory ICP Fe/Mn, and the conclusion that "only arsenic and uranium are hazardous here" ignores manganese, whose median (543 µg/L) is ~7× the current WHO provisional value of 80 µg/L.</w:t>
      </w:r>
    </w:p>
    <w:p>
      <w:pPr/>
      <w:r>
        <w:t xml:space="preserve">None of these is fatal. Most are fixable with the existing pipeline in 2–3 weeks. If fixed, the paper is competitive for a Q1 water/environmental-modelling journal; as submitted, I would expect a reject-and-resubmit from a strong venue.</w:t>
      </w:r>
    </w:p>
    <w:tbl>
      <w:tblPr>
        <w:tblStyle w:val="TableGrid"/>
        <w:tblW w:w="0" w:type="auto"/>
        <w:tblLayout w:type="fixed"/>
        <w:tblLook w:val="04A0" w:firstRow="1" w:lastRow="0" w:firstColumn="0" w:lastColumn="0" w:noHBand="0" w:noVBand="1"/>
      </w:tblPr>
      <w:tblGrid>
        <w:gridCol w:w="3345"/>
        <w:gridCol w:w="6014"/>
      </w:tblGrid>
      <w:tr>
        <w:trPr>
          <w:tblHeader/>
        </w:trPr>
        <w:tc>
          <w:tcPr>
            <w:tcW w:w="3345" w:type="dxa"/>
            <w:shd w:val="clear" w:color="auto" w:fill="F2F2F2"/>
          </w:tcPr>
          <w:p>
            <w:pPr/>
            <w:r>
              <w:t xml:space="preserve">Criterion</w:t>
            </w:r>
          </w:p>
        </w:tc>
        <w:tc>
          <w:tcPr>
            <w:tcW w:w="6014" w:type="dxa"/>
            <w:shd w:val="clear" w:color="auto" w:fill="F2F2F2"/>
          </w:tcPr>
          <w:p>
            <w:pPr/>
            <w:r>
              <w:t xml:space="preserve">Assessment</w:t>
            </w:r>
          </w:p>
        </w:tc>
      </w:tr>
      <w:tr>
        <w:tc>
          <w:tcPr>
            <w:tcW w:w="3345" w:type="dxa"/>
          </w:tcPr>
          <w:p>
            <w:pPr/>
            <w:r>
              <w:t xml:space="preserve">Novelty</w:t>
            </w:r>
          </w:p>
        </w:tc>
        <w:tc>
          <w:tcPr>
            <w:tcW w:w="6014" w:type="dxa"/>
          </w:tcPr>
          <w:p>
            <w:pPr/>
            <w:r>
              <w:t xml:space="preserve">Moderate–good: multi-metal, field-measurable predictors, conformal under transfer</w:t>
            </w:r>
          </w:p>
        </w:tc>
      </w:tr>
      <w:tr>
        <w:tc>
          <w:tcPr>
            <w:tcW w:w="3345" w:type="dxa"/>
          </w:tcPr>
          <w:p>
            <w:pPr/>
            <w:r>
              <w:t xml:space="preserve">Methodological rigour</w:t>
            </w:r>
          </w:p>
        </w:tc>
        <w:tc>
          <w:tcPr>
            <w:tcW w:w="6014" w:type="dxa"/>
          </w:tcPr>
          <w:p>
            <w:pPr/>
            <w:r>
              <w:t xml:space="preserve">Good design, flawed in five specific places (Section 3)</w:t>
            </w:r>
          </w:p>
        </w:tc>
      </w:tr>
      <w:tr>
        <w:tc>
          <w:tcPr>
            <w:tcW w:w="3345" w:type="dxa"/>
          </w:tcPr>
          <w:p>
            <w:pPr/>
            <w:r>
              <w:t xml:space="preserve">Geochemical soundness</w:t>
            </w:r>
          </w:p>
        </w:tc>
        <w:tc>
          <w:tcPr>
            <w:tcW w:w="6014" w:type="dxa"/>
          </w:tcPr>
          <w:p>
            <w:pPr/>
            <w:r>
              <w:t xml:space="preserve">Mostly sound; redox labelling and Mn omission need fixing (Section 4)</w:t>
            </w:r>
          </w:p>
        </w:tc>
      </w:tr>
      <w:tr>
        <w:tc>
          <w:tcPr>
            <w:tcW w:w="3345" w:type="dxa"/>
          </w:tcPr>
          <w:p>
            <w:pPr/>
            <w:r>
              <w:t xml:space="preserve">Internal consistency</w:t>
            </w:r>
          </w:p>
        </w:tc>
        <w:tc>
          <w:tcPr>
            <w:tcW w:w="6014" w:type="dxa"/>
          </w:tcPr>
          <w:p>
            <w:pPr/>
            <w:r>
              <w:t xml:space="preserve">Several numeric/table conflicts (Section 5)</w:t>
            </w:r>
          </w:p>
        </w:tc>
      </w:tr>
      <w:tr>
        <w:tc>
          <w:tcPr>
            <w:tcW w:w="3345" w:type="dxa"/>
          </w:tcPr>
          <w:p>
            <w:pPr/>
            <w:r>
              <w:t xml:space="preserve">Presentation</w:t>
            </w:r>
          </w:p>
        </w:tc>
        <w:tc>
          <w:tcPr>
            <w:tcW w:w="6014" w:type="dxa"/>
          </w:tcPr>
          <w:p>
            <w:pPr/>
            <w:r>
              <w:t xml:space="preserve">Clear prose; tables are raw pipeline dumps; Results/Discussion overlap heavily</w:t>
            </w:r>
          </w:p>
        </w:tc>
      </w:tr>
      <w:tr>
        <w:tc>
          <w:tcPr>
            <w:tcW w:w="3345" w:type="dxa"/>
          </w:tcPr>
          <w:p>
            <w:pPr/>
            <w:r>
              <w:t xml:space="preserve">Data age</w:t>
            </w:r>
          </w:p>
        </w:tc>
        <w:tc>
          <w:tcPr>
            <w:tcW w:w="6014" w:type="dxa"/>
          </w:tcPr>
          <w:p>
            <w:pPr/>
            <w:r>
              <w:t xml:space="preserve">1998–99 data; acceptable for a feasibility study but must be argued, not just noted</w:t>
            </w:r>
          </w:p>
        </w:tc>
      </w:tr>
    </w:tbl>
    <w:p>
      <w:pPr>
        <w:pStyle w:val="Heading2"/>
      </w:pPr>
      <w:r>
        <w:t xml:space="preserve">Strengths</w:t>
      </w:r>
    </w:p>
    <w:p>
      <w:pPr/>
      <w:r>
        <w:t xml:space="preserve">The strongest asset is the side-by-side reporting of random, spatially blocked and external validation; the Ni collapse (R² 0.288 → −0.204) is a memorable, citable demonstration.</w:t>
      </w:r>
    </w:p>
    <w:p>
      <w:pPr>
        <w:pStyle w:val="ListParagraph"/>
        <w:numPr>
          <w:ilvl w:val="0"/>
          <w:numId w:val="2"/>
        </w:numPr>
      </w:pPr>
      <w:r>
        <w:rPr>
          <w:b/>
        </w:rPr>
        <w:t xml:space="preserve">Pre-specified screening criteria</w:t>
      </w:r>
      <w:r>
        <w:t xml:space="preserve"> for targets, including the modal-share rule that catches near-constant columns hidden by a modest censoring rate (Sb, As(III)).</w:t>
      </w:r>
    </w:p>
    <w:p>
      <w:pPr>
        <w:pStyle w:val="ListParagraph"/>
        <w:numPr>
          <w:ilvl w:val="0"/>
          <w:numId w:val="2"/>
        </w:numPr>
      </w:pPr>
      <w:r>
        <w:rPr>
          <w:b/>
        </w:rPr>
        <w:t xml:space="preserve">Censoring preserved at read time</w:t>
      </w:r>
      <w:r>
        <w:t xml:space="preserve"> with per-sample detection limits, and multiple DLs per determinand acknowledged.</w:t>
      </w:r>
    </w:p>
    <w:p>
      <w:pPr>
        <w:pStyle w:val="ListParagraph"/>
        <w:numPr>
          <w:ilvl w:val="0"/>
          <w:numId w:val="2"/>
        </w:numPr>
      </w:pPr>
      <w:r>
        <w:rPr>
          <w:b/>
        </w:rPr>
        <w:t xml:space="preserve">Model-family selection inside the inner loop</w:t>
      </w:r>
      <w:r>
        <w:t xml:space="preserve">, so reported scores pay for selection.</w:t>
      </w:r>
    </w:p>
    <w:p>
      <w:pPr>
        <w:pStyle w:val="ListParagraph"/>
        <w:numPr>
          <w:ilvl w:val="0"/>
          <w:numId w:val="2"/>
        </w:numPr>
      </w:pPr>
      <w:r>
        <w:rPr>
          <w:b/>
        </w:rPr>
        <w:t xml:space="preserve">External set geographically separated</w:t>
      </w:r>
      <w:r>
        <w:t xml:space="preserve"> (Nawabganj removed; minimum 1.64 km asserted in code) and unit mismatch (Al) caught.</w:t>
      </w:r>
    </w:p>
    <w:p>
      <w:pPr>
        <w:pStyle w:val="ListParagraph"/>
        <w:numPr>
          <w:ilvl w:val="0"/>
          <w:numId w:val="2"/>
        </w:numPr>
      </w:pPr>
      <w:r>
        <w:rPr>
          <w:b/>
        </w:rPr>
        <w:t xml:space="preserve">Conformal evaluated on a disjoint test partition</w:t>
      </w:r>
      <w:r>
        <w:t xml:space="preserve">, with the circularity of in-sample coverage explained correctly.</w:t>
      </w:r>
    </w:p>
    <w:p>
      <w:pPr>
        <w:pStyle w:val="ListParagraph"/>
        <w:numPr>
          <w:ilvl w:val="0"/>
          <w:numId w:val="2"/>
        </w:numPr>
      </w:pPr>
      <w:r>
        <w:rPr>
          <w:b/>
        </w:rPr>
        <w:t xml:space="preserve">Operating points reported as burden vs missed wells</w:t>
      </w:r>
      <w:r>
        <w:t xml:space="preserve">, not collapsed into one score — exactly what a programme manager needs.</w:t>
      </w:r>
    </w:p>
    <w:p>
      <w:pPr>
        <w:pStyle w:val="ListParagraph"/>
        <w:numPr>
          <w:ilvl w:val="0"/>
          <w:numId w:val="2"/>
        </w:numPr>
      </w:pPr>
      <w:r>
        <w:rPr>
          <w:b/>
        </w:rPr>
        <w:t xml:space="preserve">Honest scope</w:t>
      </w:r>
      <w:r>
        <w:t xml:space="preserve">: the paper concedes the arsenic kit beats the model for arsenic alone.</w:t>
      </w:r>
    </w:p>
    <w:p>
      <w:pPr>
        <w:pStyle w:val="ListParagraph"/>
        <w:numPr>
          <w:ilvl w:val="0"/>
          <w:numId w:val="2"/>
        </w:numPr>
      </w:pPr>
      <w:r>
        <w:rPr>
          <w:b/>
        </w:rPr>
        <w:t xml:space="preserve">Reproducibility</w:t>
      </w:r>
      <w:r>
        <w:t xml:space="preserve">: 55 assertions, outputs read from disk, public code.</w:t>
      </w:r>
    </w:p>
    <w:p>
      <w:pPr>
        <w:pStyle w:val="Heading2"/>
      </w:pPr>
      <w:r>
        <w:t xml:space="preserve">Major issues — machine learning and statistics</w:t>
      </w:r>
    </w:p>
    <w:p>
      <w:pPr/>
      <w:r>
        <w:t xml:space="preserve">The two issues most likely to sink the paper are M1 (thresholds chosen on the test set) and M2 (below-nominal conformal coverage); both directly underpin abstract claims.</w:t>
      </w:r>
    </w:p>
    <w:p>
      <w:pPr/>
      <w:r>
        <w:rPr>
          <w:b/>
        </w:rPr>
        <w:t xml:space="preserve">M1. Operating thresholds are selected on the external test set (Section 2.9, Table T10).</w:t>
      </w:r>
      <w:r>
        <w:t xml:space="preserve"> "Predicted concentrations on the external wells are swept across thresholds" and the 95 %-sensitivity point is then reported for those same wells. "63 of 64 wells at 55 % referral" is therefore an in-sample result. Fix: choose thresholds on out-of-fold predictions from the development set, freeze them, then apply to the 1,027 wells. Report bootstrap 95 % CIs for sensitivity and AUC — with 64 positives, 98.4 % sensitivity has a CI of roughly 92–100 %.</w:t>
      </w:r>
    </w:p>
    <w:p>
      <w:pPr/>
      <w:r>
        <w:rPr>
          <w:b/>
        </w:rPr>
        <w:t xml:space="preserve">M2. Split-conformal coverage below 90 % is not "expected at this sample size" (Section 3.6).</w:t>
      </w:r>
      <w:r>
        <w:t xml:space="preserve"> Split conformal guarantees marginal coverage ≥ 1 − α in finite samples, so the mean over 100 partitions should sit at or slightly above 0.90. All 23 combinations fall at 0.872–0.894. This points to an implementation issue — most likely using </w:t>
      </w:r>
      <w:r>
        <w:rPr>
          <w:rStyle w:val="CodeChar"/>
        </w:rPr>
        <w:t xml:space="preserve">np.quantile(scores, 0.9)</w:t>
      </w:r>
      <w:r>
        <w:t xml:space="preserve"> instead of the ceil((n+1)(1−α))/n order statistic, or truncating predictions at zero after computing the interval. Fix the quantile, re-run, and delete the "expected" sentence.</w:t>
      </w:r>
    </w:p>
    <w:p>
      <w:pPr/>
      <w:r>
        <w:rPr>
          <w:b/>
        </w:rPr>
        <w:t xml:space="preserve">M3. Conformal intervals are uninformative by construction for skewed targets.</w:t>
      </w:r>
      <w:r>
        <w:t xml:space="preserve"> Symmetric absolute-residual intervals on the original scale give arsenic widths of ~220–239 µg/L. That is a property of the score function, not of conformal prediction. Use conformalised quantile regression [47], scores on the log scale (multiplicative intervals), or locally weighted/Mondrian conformal by redox class. Otherwise the "width makes it useless" conclusion is an artefact of your design choice.</w:t>
      </w:r>
    </w:p>
    <w:p>
      <w:pPr/>
      <w:r>
        <w:rPr>
          <w:b/>
        </w:rPr>
        <w:t xml:space="preserve">M4. Conformal calibration and coverage are evaluated on random partitions.</w:t>
      </w:r>
      <w:r>
        <w:t xml:space="preserve"> The paper shows random folds are optimistic, then calibrates conformal on random splits (including 24 co-located wells that leak). Add spatially blocked calibration/test splits. Also, you cite the fixes — covariate-shift weighted conformal [50] and area of applicability [63] — but apply neither. Reviewers will ask why. Computing the AOA/dissimilarity index on the external wells would also falsify the claim that failure comes "with no warning": covariate shift is detectable from X alone.</w:t>
      </w:r>
    </w:p>
    <w:p>
      <w:pPr/>
      <w:r>
        <w:rPr>
          <w:b/>
        </w:rPr>
        <w:t xml:space="preserve">M5. R² on the original scale after a naive log1p back-transform.</w:t>
      </w:r>
      <w:r>
        <w:t xml:space="preserve"> expm1(prediction on log scale) estimates the conditional median, not the mean, so high wells are systematically under-predicted; R² for arsenic (max 2,400 µg/L) is dominated by a handful of wells. Symptoms: external R² = −5.58, learning-curve fold mean −5.02 (SD 27.5) for As and −12.44 (SD 78.5) for Mo. Report R² and MAE on the log scale, apply a smearing correction (Duan) for the original scale, and report calibration slope. The "ranking transfers, concentration does not" message may survive, but must be shown not to be a metric artefact.</w:t>
      </w:r>
    </w:p>
    <w:p>
      <w:pPr/>
      <w:r>
        <w:rPr>
          <w:b/>
        </w:rPr>
        <w:t xml:space="preserve">M6. log1p is unit-dependent.</w:t>
      </w:r>
      <w:r>
        <w:t xml:space="preserve"> Ba is modelled in mg/L (0.005–0.657), where log1p is almost the identity, while other metals are in µg/L. Convert all targets to µg/L or use log(x) with a DL-based offset.</w:t>
      </w:r>
    </w:p>
    <w:p>
      <w:pPr/>
      <w:r>
        <w:rPr>
          <w:b/>
        </w:rPr>
        <w:t xml:space="preserve">M7. The censoring comparison changes the ground truth between arms (Section 2.7, Table T4).</w:t>
      </w:r>
      <w:r>
        <w:t xml:space="preserve"> If each rule is applied to test-fold targets too, the four R² values are scored against four different truths, so the 0.136 spread for arsenic partly measures target variance, not model distortion. Score all arms against one common reference (e.g., uncensored test wells only, or a censored likelihood). Also: the described method (fit lognormal to detects, random draws below the DL) is stochastic imputation, not ROS as defined by Helsel/Lee &amp; Helsel [57]; rename it or use NADA-style robust ROS, and use multiple imputation. RQ4 promises "censoring-aware alternatives" yet no censoring-aware learner is fitted — add a Tobit/AFT model (e.g., XGBoost </w:t>
      </w:r>
      <w:r>
        <w:rPr>
          <w:rStyle w:val="CodeChar"/>
        </w:rPr>
        <w:t xml:space="preserve">survival:aft</w:t>
      </w:r>
      <w:r>
        <w:t xml:space="preserve"> with left-censoring), since Tobin [58] is cited but unused.</w:t>
      </w:r>
    </w:p>
    <w:p>
      <w:pPr/>
      <w:r>
        <w:rPr>
          <w:b/>
        </w:rPr>
        <w:t xml:space="preserve">M8. Wilcoxon tests on 25 repeated-CV folds treat dependent folds as independent.</w:t>
      </w:r>
      <w:r>
        <w:t xml:space="preserve"> Repeated 5×5 CV re-uses the same wells; p-values are anti-conservative, and the argument in 2.5.2 (repeat spatial CV to get p &lt; 0.031) leans on exactly that dependence. Use the corrected resampled t-test (Nadeau &amp; Bengio 2003; Bouckaert &amp; Frank 2004) or a permutation test at the fold-set level.</w:t>
      </w:r>
    </w:p>
    <w:p>
      <w:pPr/>
      <w:r>
        <w:rPr>
          <w:b/>
        </w:rPr>
        <w:t xml:space="preserve">M9. Permutation importance is incoherent with model skill.</w:t>
      </w:r>
      <w:r>
        <w:t xml:space="preserve"> For arsenic the mean R² drop for Fe is 0.393 although model R² is 0.104; for uranium the Fe drop is 0.98 vs R² 0.32. Either importance was computed on a different scale (log) or on training data. State scale and data split, compute on held-out folds, and handle collinearity (Fe–Mn–HCO₃–Eh; SEC–Cl) with grouped permutation or conditional SHAP. Add ALE/PDP plots — importance gives no sign, and the sign is the geochemical argument (Section 4, G5).</w:t>
      </w:r>
    </w:p>
    <w:p>
      <w:pPr/>
      <w:r>
        <w:rPr>
          <w:b/>
        </w:rPr>
        <w:t xml:space="preserve">M10. No simple-rule baseline for classification.</w:t>
      </w:r>
      <w:r>
        <w:t xml:space="preserve"> AUC 0.828 comes from a T-cheap model whose internal CV R² is −0.001. Report AUC for depth alone, Fe alone, and a two-variable rule (e.g., depth &lt; 30 m and Fe &gt; x). If depth alone gives ~0.80, the ML contribution is negligible — itself a publishable point, but it must be shown.</w:t>
      </w:r>
    </w:p>
    <w:p>
      <w:pPr/>
      <w:r>
        <w:rPr>
          <w:b/>
        </w:rPr>
        <w:t xml:space="preserve">M11. Model set and reporting.</w:t>
      </w:r>
      <w:r>
        <w:t xml:space="preserve"> No gradient boosting (XGBoost/LightGBM) — reviewers in this field will expect it. Hyperparameter grids, inner-CV scoring metric and the selected family per fold must go in a supplement. The single-seed limitation (4.6) is cheap to fix; do it rather than report it.</w:t>
      </w:r>
    </w:p>
    <w:p>
      <w:pPr>
        <w:pStyle w:val="Heading2"/>
      </w:pPr>
      <w:r>
        <w:t xml:space="preserve">Major issues — groundwater and hydrogeochemistry</w:t>
      </w:r>
    </w:p>
    <w:p>
      <w:pPr/>
      <w:r>
        <w:t xml:space="preserve">The headline hypothesis needs reframing (G1), and the redox zonation (G2) likely contains a censoring bug that undermines the mechanistic section.</w:t>
      </w:r>
    </w:p>
    <w:p>
      <w:pPr/>
      <w:r>
        <w:rPr>
          <w:b/>
        </w:rPr>
        <w:t xml:space="preserve">G1. Your own results partly falsify the stated hypothesis.</w:t>
      </w:r>
      <w:r>
        <w:t xml:space="preserve"> Section 1 says the hypothesis predicts "metals with low censoring should prove modellable irrespective of their geochemical behaviour." Ni (1.1 % censored), Zn (0.4 %) and Pb (12.5 %) all fail under spatial validation. So for low-censoring metals the limit is geochemical/predictor information, not analytical. The defensible claim is two-sided: detection limits impose a </w:t>
      </w:r>
      <w:r>
        <w:rPr>
          <w:i/>
        </w:rPr>
        <w:t xml:space="preserve">ceiling</w:t>
      </w:r>
      <w:r>
        <w:t xml:space="preserve"> (heavily censored metals cannot be modelled — close to tautological), while predictor information sets the limit for the rest. Rewrite the hypothesis, abstract, Section 4.1 and Conclusion 1 accordingly. A reviewer will spot this immediately.</w:t>
      </w:r>
    </w:p>
    <w:p>
      <w:pPr/>
      <w:r>
        <w:rPr>
          <w:b/>
        </w:rPr>
        <w:t xml:space="preserve">G2. The redox classification appears mis-implemented (Table T7).</w:t>
      </w:r>
      <w:r>
        <w:t xml:space="preserve"> In McMahon &amp; Chapelle, a nitrate-reducing well requires DO &lt; 0.5, NO₃-N ≥ 0.5, Mn &lt; 0.05 and Fe &lt; 0.1 mg/L. Your 65 "nitrate-reducing" wells have median Fe 1.08 and Mn 0.707 mg/L, and 58.5 % exceed 10 µg/L As — these are mixed or anoxic waters. NO₃-N is 80 % censored with DLs of 0.3 and 0.5 mg/L; if censored values carry their DL (0.5) into a ≥ 0.5 test, every "&lt;0.5" well becomes nitrate-reducing. Likewise 34 "oxic" wells with median Fe 0.22 and Mn 0.45 mg/L and 38 % As exceedance are not oxic. Re-implement with the full framework, including mixed categories and a rule that a value censored at or above a threshold is "indeterminate". The Mann–Whitney reducing vs non-reducing contrast (p = 0.0029) must be recomputed.</w:t>
      </w:r>
    </w:p>
    <w:p>
      <w:pPr/>
      <w:r>
        <w:rPr>
          <w:b/>
        </w:rPr>
        <w:t xml:space="preserve">G3. The "field-kit" tier uses laboratory data.</w:t>
      </w:r>
      <w:r>
        <w:t xml:space="preserve"> Fe and Mn in the BGS/DPHE dataset are ICP determinations of filtered, acidified samples. Field colorimetric kits measure total Fe with coarser resolution, Mn kits are far less reliable at sub-mg/L levels, and field pH/Eh carry drift and electrode error. The cost-tier result is therefore an upper bound. Add a measurement-error sensitivity analysis: perturb E1/E2 inputs with published kit/meter precision (or binned kit readings) and re-score. Also add an actual cost table (USD per well per tier vs ICP-MS panel vs As kit) — the paper is "ordered by cost" but never prices anything.</w:t>
      </w:r>
    </w:p>
    <w:p>
      <w:pPr/>
      <w:r>
        <w:rPr>
          <w:b/>
        </w:rPr>
        <w:t xml:space="preserve">G4. Manganese is a hazard here and is omitted from the hazard conclusion.</w:t>
      </w:r>
      <w:r>
        <w:t xml:space="preserve"> WHO set a provisional health-based value of 80 µg/L for manganese in 2021 (WHO 2022 fact sheet). Your median Mn is 543 µg/L, so most wells exceed it. "Only arsenic and uranium are both hazardous here and screenable" (abstract, 4.5, Conclusion 6) is therefore misleading. Mn is used as a predictor, which is fine, but the discussion must acknowledge that the same field kit measures a hazard directly. Citing the 2026 global manganese assessment (Podgorski and Berg) would strengthen this. Also state which Bangladesh standard set you use — ECR 1997 or the revised ECR 2023 — and verify each value.</w:t>
      </w:r>
    </w:p>
    <w:p>
      <w:pPr/>
      <w:r>
        <w:rPr>
          <w:b/>
        </w:rPr>
        <w:t xml:space="preserve">G5. Uranium mechanism needs direction, not just importance.</w:t>
      </w:r>
      <w:r>
        <w:t xml:space="preserve"> U in the Bengal Basin is mobile as Ca/Mg–uranyl–carbonate complexes in less reducing water and is removed under Fe-reducing conditions, so U should fall as Fe rises; HCO₃ being the second predictor fits this. Show it with ALE/PDP. Also, U exceeds 30 µg/L in only 4 wells — regression R² of 0.25–0.35 says nothing about screening exceedances. "Uranium is the clearer case for the approach" (4.5) is overstated; reframe as a hypothesis for future validation.</w:t>
      </w:r>
    </w:p>
    <w:p>
      <w:pPr/>
      <w:r>
        <w:rPr>
          <w:b/>
        </w:rPr>
        <w:t xml:space="preserve">G6. Eh is unreliable and should be discussed as such.</w:t>
      </w:r>
      <w:r>
        <w:t xml:space="preserve"> Pt-electrode Eh in groundwater rarely reflects a single couple. Your data show it: median Eh in sulfate-reducing wells is +71.5 mV and permutation importance for As is ~0. Say so, and drop Eh from the E1 "meter" narrative or justify it.</w:t>
      </w:r>
    </w:p>
    <w:p>
      <w:pPr/>
      <w:r>
        <w:rPr>
          <w:b/>
        </w:rPr>
        <w:t xml:space="preserve">G7. Missing low-cost comparators from the Bangladesh literature.</w:t>
      </w:r>
      <w:r>
        <w:t xml:space="preserve"> The real field alternatives are not only the As kit: sediment-colour targeting by drillers (van Geen et al.; Hossain et al. 2014, Sci. Total Environ.), well depth and installation year, and local knowledge. A surrogate-screening paper must position itself against these. Depth alone may already capture most of your AUC (M10).</w:t>
      </w:r>
    </w:p>
    <w:p>
      <w:pPr/>
      <w:r>
        <w:rPr>
          <w:b/>
        </w:rPr>
        <w:t xml:space="preserve">G8. External set composition inflates AUC.</w:t>
      </w:r>
      <w:r>
        <w:t xml:space="preserve"> North Bengal includes Barind and Madhupur terraces where As is almost uniformly at DL (Table T14). Easy negatives inflate AUC. Report AUC and operating points stratified by Holocene vs Pleistocene setting, and by depth band.</w:t>
      </w:r>
    </w:p>
    <w:p>
      <w:pPr/>
      <w:r>
        <w:rPr>
          <w:b/>
        </w:rPr>
        <w:t xml:space="preserve">G9. Geochemical modelling is simplified.</w:t>
      </w:r>
      <w:r>
        <w:t xml:space="preserve"> Saturation indices from Davies activity, total Fe as Fe²⁺ and a single carbonate equilibrium are acceptable as a first pass, but a Q1 reviewer will ask for PHREEQC (wateq4f/minteq) with temperature-dependent constants and complexation. Report As(III) speciation test name; p = 1.000 exactly needs explanation.</w:t>
      </w:r>
    </w:p>
    <w:p>
      <w:pPr/>
      <w:r>
        <w:rPr>
          <w:b/>
        </w:rPr>
        <w:t xml:space="preserve">G10. Data age and design.</w:t>
      </w:r>
      <w:r>
        <w:t xml:space="preserve"> 1998–99 data are the only set with field Eh/DO/DOC plus a full trace-metal suite — say this is why, and argue that the feasibility question is time-invariant while concentrations are not. Consider leave-one-district-out validation (Noakhali n = 8 excepted) as the most interpretable spatial test for practitioners.</w:t>
      </w:r>
    </w:p>
    <w:p>
      <w:pPr>
        <w:pStyle w:val="Heading2"/>
      </w:pPr>
      <w:r>
        <w:t xml:space="preserve">Internal inconsistencies and factual errors</w:t>
      </w:r>
    </w:p>
    <w:p>
      <w:pPr/>
      <w:r>
        <w:t xml:space="preserve">Each of these is small, but together they signal a draft that was not cross-checked — reviewers lose trust fast when tables disagree.</w:t>
      </w:r>
    </w:p>
    <w:tbl>
      <w:tblPr>
        <w:tblStyle w:val="TableGrid"/>
        <w:tblW w:w="0" w:type="auto"/>
        <w:tblLayout w:type="fixed"/>
        <w:tblLook w:val="04A0" w:firstRow="1" w:lastRow="0" w:firstColumn="0" w:lastColumn="0" w:noHBand="0" w:noVBand="1"/>
      </w:tblPr>
      <w:tblGrid>
        <w:gridCol w:w="2252"/>
        <w:gridCol w:w="4618"/>
        <w:gridCol w:w="2490"/>
      </w:tblGrid>
      <w:tr>
        <w:trPr>
          <w:tblHeader/>
        </w:trPr>
        <w:tc>
          <w:tcPr>
            <w:tcW w:w="2252" w:type="dxa"/>
            <w:shd w:val="clear" w:color="auto" w:fill="F2F2F2"/>
          </w:tcPr>
          <w:p>
            <w:pPr/>
            <w:r>
              <w:t xml:space="preserve">Location</w:t>
            </w:r>
          </w:p>
        </w:tc>
        <w:tc>
          <w:tcPr>
            <w:tcW w:w="4618" w:type="dxa"/>
            <w:shd w:val="clear" w:color="auto" w:fill="F2F2F2"/>
          </w:tcPr>
          <w:p>
            <w:pPr/>
            <w:r>
              <w:t xml:space="preserve">Problem</w:t>
            </w:r>
          </w:p>
        </w:tc>
        <w:tc>
          <w:tcPr>
            <w:tcW w:w="2490" w:type="dxa"/>
            <w:shd w:val="clear" w:color="auto" w:fill="F2F2F2"/>
          </w:tcPr>
          <w:p>
            <w:pPr/>
            <w:r>
              <w:t xml:space="preserve">Fix</w:t>
            </w:r>
          </w:p>
        </w:tc>
      </w:tr>
      <w:tr>
        <w:tc>
          <w:tcPr>
            <w:tcW w:w="2252" w:type="dxa"/>
          </w:tcPr>
          <w:p>
            <w:pPr/>
            <w:r>
              <w:t xml:space="preserve">Table T1 vs T0b</w:t>
            </w:r>
          </w:p>
        </w:tc>
        <w:tc>
          <w:tcPr>
            <w:tcW w:w="4618" w:type="dxa"/>
          </w:tcPr>
          <w:p>
            <w:pPr/>
            <w:r>
              <w:t xml:space="preserve">Ni WHO limit listed as 20 µg/L in T1, 70 µg/L in T0b (70 is current)</w:t>
            </w:r>
          </w:p>
        </w:tc>
        <w:tc>
          <w:tcPr>
            <w:tcW w:w="2490" w:type="dxa"/>
          </w:tcPr>
          <w:p>
            <w:pPr/>
            <w:r>
              <w:t xml:space="preserve">Use 70 everywhere</w:t>
            </w:r>
          </w:p>
        </w:tc>
      </w:tr>
      <w:tr>
        <w:tc>
          <w:tcPr>
            <w:tcW w:w="2252" w:type="dxa"/>
          </w:tcPr>
          <w:p>
            <w:pPr/>
            <w:r>
              <w:t xml:space="preserve">Table T0 / T1 (Se)</w:t>
            </w:r>
          </w:p>
        </w:tc>
        <w:tc>
          <w:tcPr>
            <w:tcW w:w="4618" w:type="dxa"/>
          </w:tcPr>
          <w:p>
            <w:pPr/>
            <w:r>
              <w:t xml:space="preserve">19 valid, 19 censored, shown as "7 % censored" — Se is 100 % censored among measured samples</w:t>
            </w:r>
          </w:p>
        </w:tc>
        <w:tc>
          <w:tcPr>
            <w:tcW w:w="2490" w:type="dxa"/>
          </w:tcPr>
          <w:p>
            <w:pPr/>
            <w:r>
              <w:t xml:space="preserve">Report censoring over measured n</w:t>
            </w:r>
          </w:p>
        </w:tc>
      </w:tr>
      <w:tr>
        <w:tc>
          <w:tcPr>
            <w:tcW w:w="2252" w:type="dxa"/>
          </w:tcPr>
          <w:p>
            <w:pPr/>
            <w:r>
              <w:t xml:space="preserve">Table T0 (Cu)</w:t>
            </w:r>
          </w:p>
        </w:tc>
        <w:tc>
          <w:tcPr>
            <w:tcW w:w="4618" w:type="dxa"/>
          </w:tcPr>
          <w:p>
            <w:pPr/>
            <w:r>
              <w:t xml:space="preserve">Min 0.03 µg/L while stated DL is 1</w:t>
            </w:r>
          </w:p>
        </w:tc>
        <w:tc>
          <w:tcPr>
            <w:tcW w:w="2490" w:type="dxa"/>
          </w:tcPr>
          <w:p>
            <w:pPr/>
            <w:r>
              <w:t xml:space="preserve">Explain sub-DL values or correct DL list</w:t>
            </w:r>
          </w:p>
        </w:tc>
      </w:tr>
      <w:tr>
        <w:tc>
          <w:tcPr>
            <w:tcW w:w="2252" w:type="dxa"/>
          </w:tcPr>
          <w:p>
            <w:pPr/>
            <w:r>
              <w:t xml:space="preserve">Table T0 (DOC)</w:t>
            </w:r>
          </w:p>
        </w:tc>
        <w:tc>
          <w:tcPr>
            <w:tcW w:w="4618" w:type="dxa"/>
          </w:tcPr>
          <w:p>
            <w:pPr/>
            <w:r>
              <w:t xml:space="preserve">Min 0 with DLs 0.1/1</w:t>
            </w:r>
          </w:p>
        </w:tc>
        <w:tc>
          <w:tcPr>
            <w:tcW w:w="2490" w:type="dxa"/>
          </w:tcPr>
          <w:p>
            <w:pPr/>
            <w:r>
              <w:t xml:space="preserve">Check parsing/sentinel</w:t>
            </w:r>
          </w:p>
        </w:tc>
      </w:tr>
      <w:tr>
        <w:tc>
          <w:tcPr>
            <w:tcW w:w="2252" w:type="dxa"/>
          </w:tcPr>
          <w:p>
            <w:pPr/>
            <w:r>
              <w:t xml:space="preserve">Table T0 (pH)</w:t>
            </w:r>
          </w:p>
        </w:tc>
        <w:tc>
          <w:tcPr>
            <w:tcW w:w="4618" w:type="dxa"/>
          </w:tcPr>
          <w:p>
            <w:pPr/>
            <w:r>
              <w:t xml:space="preserve">Unit printed as "nan"</w:t>
            </w:r>
          </w:p>
        </w:tc>
        <w:tc>
          <w:tcPr>
            <w:tcW w:w="2490" w:type="dxa"/>
          </w:tcPr>
          <w:p>
            <w:pPr/>
            <w:r>
              <w:t xml:space="preserve">Write "–" or "pH units"</w:t>
            </w:r>
          </w:p>
        </w:tc>
      </w:tr>
      <w:tr>
        <w:tc>
          <w:tcPr>
            <w:tcW w:w="2252" w:type="dxa"/>
          </w:tcPr>
          <w:p>
            <w:pPr/>
            <w:r>
              <w:t xml:space="preserve">Table T0b</w:t>
            </w:r>
          </w:p>
        </w:tc>
        <w:tc>
          <w:tcPr>
            <w:tcW w:w="4618" w:type="dxa"/>
          </w:tcPr>
          <w:p>
            <w:pPr/>
            <w:r>
              <w:t xml:space="preserve">Zn 3,000 µg/L called a WHO "guideline" — WHO gives no health-based value for Zn; Mo 70 µg/L is a health-based value, not a formal guideline</w:t>
            </w:r>
          </w:p>
        </w:tc>
        <w:tc>
          <w:tcPr>
            <w:tcW w:w="2490" w:type="dxa"/>
          </w:tcPr>
          <w:p>
            <w:pPr/>
            <w:r>
              <w:t xml:space="preserve">Label as acceptability/health-based values</w:t>
            </w:r>
          </w:p>
        </w:tc>
      </w:tr>
      <w:tr>
        <w:tc>
          <w:tcPr>
            <w:tcW w:w="2252" w:type="dxa"/>
          </w:tcPr>
          <w:p>
            <w:pPr/>
            <w:r>
              <w:t xml:space="preserve">Table T1 vs T0b</w:t>
            </w:r>
          </w:p>
        </w:tc>
        <w:tc>
          <w:tcPr>
            <w:tcW w:w="4618" w:type="dxa"/>
          </w:tcPr>
          <w:p>
            <w:pPr/>
            <w:r>
              <w:t xml:space="preserve">Ba limit 1,300 µg/L in T1, 1.3 mg/L in T0b</w:t>
            </w:r>
          </w:p>
        </w:tc>
        <w:tc>
          <w:tcPr>
            <w:tcW w:w="2490" w:type="dxa"/>
          </w:tcPr>
          <w:p>
            <w:pPr/>
            <w:r>
              <w:t xml:space="preserve">One unit throughout</w:t>
            </w:r>
          </w:p>
        </w:tc>
      </w:tr>
      <w:tr>
        <w:tc>
          <w:tcPr>
            <w:tcW w:w="2252" w:type="dxa"/>
          </w:tcPr>
          <w:p>
            <w:pPr/>
            <w:r>
              <w:t xml:space="preserve">Section 3.3, 4.1</w:t>
            </w:r>
          </w:p>
        </w:tc>
        <w:tc>
          <w:tcPr>
            <w:tcW w:w="4618" w:type="dxa"/>
          </w:tcPr>
          <w:p>
            <w:pPr/>
            <w:r>
              <w:t xml:space="preserve">Refer to "Section 1.6"; Introduction has no numbered subsections</w:t>
            </w:r>
          </w:p>
        </w:tc>
        <w:tc>
          <w:tcPr>
            <w:tcW w:w="2490" w:type="dxa"/>
          </w:tcPr>
          <w:p>
            <w:pPr/>
            <w:r>
              <w:t xml:space="preserve">Number intro subsections or fix references</w:t>
            </w:r>
          </w:p>
        </w:tc>
      </w:tr>
      <w:tr>
        <w:tc>
          <w:tcPr>
            <w:tcW w:w="2252" w:type="dxa"/>
          </w:tcPr>
          <w:p>
            <w:pPr/>
            <w:r>
              <w:t xml:space="preserve">Abstract vs 3.5</w:t>
            </w:r>
          </w:p>
        </w:tc>
        <w:tc>
          <w:tcPr>
            <w:tcW w:w="4618" w:type="dxa"/>
          </w:tcPr>
          <w:p>
            <w:pPr/>
            <w:r>
              <w:t xml:space="preserve">Abstract implies As is screenable; As fails all tiers under 8-block CV and passes 16-block only with SD ≈ 0.30</w:t>
            </w:r>
          </w:p>
        </w:tc>
        <w:tc>
          <w:tcPr>
            <w:tcW w:w="2490" w:type="dxa"/>
          </w:tcPr>
          <w:p>
            <w:pPr/>
            <w:r>
              <w:t xml:space="preserve">State the fragility explicitly</w:t>
            </w:r>
          </w:p>
        </w:tc>
      </w:tr>
      <w:tr>
        <w:tc>
          <w:tcPr>
            <w:tcW w:w="2252" w:type="dxa"/>
          </w:tcPr>
          <w:p>
            <w:pPr/>
            <w:r>
              <w:t xml:space="preserve">Table T9</w:t>
            </w:r>
          </w:p>
        </w:tc>
        <w:tc>
          <w:tcPr>
            <w:tcW w:w="4618" w:type="dxa"/>
          </w:tcPr>
          <w:p>
            <w:pPr/>
            <w:r>
              <w:t xml:space="preserve">As E1 (meter only) infeasible under random CV but feasible under 16 blocks (R² 0.078 &gt; −0.070)</w:t>
            </w:r>
          </w:p>
        </w:tc>
        <w:tc>
          <w:tcPr>
            <w:tcW w:w="2490" w:type="dxa"/>
          </w:tcPr>
          <w:p>
            <w:pPr/>
            <w:r>
              <w:t xml:space="preserve">Discuss as evidence of instability, not skill</w:t>
            </w:r>
          </w:p>
        </w:tc>
      </w:tr>
      <w:tr>
        <w:tc>
          <w:tcPr>
            <w:tcW w:w="2252" w:type="dxa"/>
          </w:tcPr>
          <w:p>
            <w:pPr/>
            <w:r>
              <w:t xml:space="preserve">Section 3.6 vs 4.3</w:t>
            </w:r>
          </w:p>
        </w:tc>
        <w:tc>
          <w:tcPr>
            <w:tcW w:w="4618" w:type="dxa"/>
          </w:tcPr>
          <w:p>
            <w:pPr/>
            <w:r>
              <w:t xml:space="preserve">Coverage "expected" below nominal (see M2)</w:t>
            </w:r>
          </w:p>
        </w:tc>
        <w:tc>
          <w:tcPr>
            <w:tcW w:w="2490" w:type="dxa"/>
          </w:tcPr>
          <w:p>
            <w:pPr/>
            <w:r>
              <w:t xml:space="preserve">Remove after fixing quantile</w:t>
            </w:r>
          </w:p>
        </w:tc>
      </w:tr>
      <w:tr>
        <w:tc>
          <w:tcPr>
            <w:tcW w:w="2252" w:type="dxa"/>
          </w:tcPr>
          <w:p>
            <w:pPr/>
            <w:r>
              <w:t xml:space="preserve">Section 2.4 vs T2</w:t>
            </w:r>
          </w:p>
        </w:tc>
        <w:tc>
          <w:tcPr>
            <w:tcW w:w="4618" w:type="dxa"/>
          </w:tcPr>
          <w:p>
            <w:pPr/>
            <w:r>
              <w:t xml:space="preserve">Complete cases 243–254 stated, but n = 271 for all tiers in T2</w:t>
            </w:r>
          </w:p>
        </w:tc>
        <w:tc>
          <w:tcPr>
            <w:tcW w:w="2490" w:type="dxa"/>
          </w:tcPr>
          <w:p>
            <w:pPr/>
            <w:r>
              <w:t xml:space="preserve">State that missing predictors are median-imputed in-fold</w:t>
            </w:r>
          </w:p>
        </w:tc>
      </w:tr>
      <w:tr>
        <w:tc>
          <w:tcPr>
            <w:tcW w:w="2252" w:type="dxa"/>
          </w:tcPr>
          <w:p>
            <w:pPr/>
            <w:r>
              <w:t xml:space="preserve">Intro vs 4.3</w:t>
            </w:r>
          </w:p>
        </w:tc>
        <w:tc>
          <w:tcPr>
            <w:tcW w:w="4618" w:type="dxa"/>
          </w:tcPr>
          <w:p>
            <w:pPr/>
            <w:r>
              <w:t xml:space="preserve">Novelty stated as "trace-metal concentrations in groundwater" in Intro, "groundwater quality" in 4.3</w:t>
            </w:r>
          </w:p>
        </w:tc>
        <w:tc>
          <w:tcPr>
            <w:tcW w:w="2490" w:type="dxa"/>
          </w:tcPr>
          <w:p>
            <w:pPr/>
            <w:r>
              <w:t xml:space="preserve">Use the narrower claim; I found no prior conformal application to groundwater trace metals, but say "to our knowledge"</w:t>
            </w:r>
          </w:p>
        </w:tc>
      </w:tr>
      <w:tr>
        <w:tc>
          <w:tcPr>
            <w:tcW w:w="2252" w:type="dxa"/>
          </w:tcPr>
          <w:p>
            <w:pPr/>
            <w:r>
              <w:t xml:space="preserve">Section 3.8</w:t>
            </w:r>
          </w:p>
        </w:tc>
        <w:tc>
          <w:tcPr>
            <w:tcW w:w="4618" w:type="dxa"/>
          </w:tcPr>
          <w:p>
            <w:pPr/>
            <w:r>
              <w:t xml:space="preserve">"Two metals that exceed guidelines rely on redox indicators" — Pb also exceeds (one well)</w:t>
            </w:r>
          </w:p>
        </w:tc>
        <w:tc>
          <w:tcPr>
            <w:tcW w:w="2490" w:type="dxa"/>
          </w:tcPr>
          <w:p>
            <w:pPr/>
            <w:r>
              <w:t xml:space="preserve">Qualify</w:t>
            </w:r>
          </w:p>
        </w:tc>
      </w:tr>
      <w:tr>
        <w:tc>
          <w:tcPr>
            <w:tcW w:w="2252" w:type="dxa"/>
          </w:tcPr>
          <w:p>
            <w:pPr/>
            <w:r>
              <w:t xml:space="preserve">Figures</w:t>
            </w:r>
          </w:p>
        </w:tc>
        <w:tc>
          <w:tcPr>
            <w:tcW w:w="4618" w:type="dxa"/>
          </w:tcPr>
          <w:p>
            <w:pPr/>
            <w:r>
              <w:t xml:space="preserve">Figure 3 cited before Figure 2; numbering 1–12 with 10 and 12 out of order</w:t>
            </w:r>
          </w:p>
        </w:tc>
        <w:tc>
          <w:tcPr>
            <w:tcW w:w="2490" w:type="dxa"/>
          </w:tcPr>
          <w:p>
            <w:pPr/>
            <w:r>
              <w:t xml:space="preserve">Renumber by first citation</w:t>
            </w:r>
          </w:p>
        </w:tc>
      </w:tr>
      <w:tr>
        <w:tc>
          <w:tcPr>
            <w:tcW w:w="2252" w:type="dxa"/>
          </w:tcPr>
          <w:p>
            <w:pPr/>
            <w:r>
              <w:t xml:space="preserve">Tables</w:t>
            </w:r>
          </w:p>
        </w:tc>
        <w:tc>
          <w:tcPr>
            <w:tcW w:w="4618" w:type="dxa"/>
          </w:tcPr>
          <w:p>
            <w:pPr/>
            <w:r>
              <w:t xml:space="preserve">Table 1, Table 2, then T6, T0, T8, T0b, T1…</w:t>
            </w:r>
          </w:p>
        </w:tc>
        <w:tc>
          <w:tcPr>
            <w:tcW w:w="2490" w:type="dxa"/>
          </w:tcPr>
          <w:p>
            <w:pPr/>
            <w:r>
              <w:t xml:space="preserve">Renumber sequentially (Table 3, 4…)</w:t>
            </w:r>
          </w:p>
        </w:tc>
      </w:tr>
      <w:tr>
        <w:tc>
          <w:tcPr>
            <w:tcW w:w="2252" w:type="dxa"/>
          </w:tcPr>
          <w:p>
            <w:pPr/>
            <w:r>
              <w:t xml:space="preserve">Refs 26–28, 43</w:t>
            </w:r>
          </w:p>
        </w:tc>
        <w:tc>
          <w:tcPr>
            <w:tcW w:w="4618" w:type="dxa"/>
          </w:tcPr>
          <w:p>
            <w:pPr/>
            <w:r>
              <w:t xml:space="preserve">Missing volume/pages/DOI</w:t>
            </w:r>
          </w:p>
        </w:tc>
        <w:tc>
          <w:tcPr>
            <w:tcW w:w="2490" w:type="dxa"/>
          </w:tcPr>
          <w:p>
            <w:pPr/>
            <w:r>
              <w:t xml:space="preserve">Complete</w:t>
            </w:r>
          </w:p>
        </w:tc>
      </w:tr>
    </w:tbl>
    <w:p>
      <w:pPr>
        <w:pStyle w:val="Heading2"/>
      </w:pPr>
      <w:r>
        <w:t xml:space="preserve">Minor issues and presentation</w:t>
      </w:r>
    </w:p>
    <w:p>
      <w:pPr/>
      <w:r>
        <w:t xml:space="preserve">The prose is clear and confident; the tables and the Results–Discussion overlap are what will read as unfinished.</w:t>
      </w:r>
    </w:p>
    <w:p>
      <w:pPr/>
      <w:r>
        <w:rPr>
          <w:b/>
        </w:rPr>
        <w:t xml:space="preserve">Abstract and framing</w:t>
      </w:r>
    </w:p>
    <w:p>
      <w:pPr>
        <w:pStyle w:val="ListParagraph"/>
        <w:numPr>
          <w:ilvl w:val="0"/>
          <w:numId w:val="3"/>
        </w:numPr>
      </w:pPr>
      <w:r>
        <w:t xml:space="preserve">Abstract is ~290 words; most target journals cap at 250. Cut the conformal range sentence or the Ni sentence.</w:t>
      </w:r>
    </w:p>
    <w:p>
      <w:pPr>
        <w:pStyle w:val="ListParagraph"/>
        <w:numPr>
          <w:ilvl w:val="0"/>
          <w:numId w:val="3"/>
        </w:numPr>
      </w:pPr>
      <w:r>
        <w:t xml:space="preserve">"R² = −5.58" in the abstract will alarm readers before they reach the explanation. Lead with AUC and mention R² as "no concentration skill".</w:t>
      </w:r>
    </w:p>
    <w:p>
      <w:pPr>
        <w:pStyle w:val="ListParagraph"/>
        <w:numPr>
          <w:ilvl w:val="0"/>
          <w:numId w:val="3"/>
        </w:numPr>
      </w:pPr>
      <w:r>
        <w:t xml:space="preserve">Tone down claims about the regional literature on cadmium (4.1). Your data are 1998–99, four arsenic-selected districts, at DL 0.02 µg/L; other studies' Cd findings may reflect different areas, eras or methods. Say "in these wells", not imply they are wrong.</w:t>
      </w:r>
    </w:p>
    <w:p>
      <w:pPr>
        <w:pStyle w:val="ListParagraph"/>
        <w:numPr>
          <w:ilvl w:val="0"/>
          <w:numId w:val="3"/>
        </w:numPr>
      </w:pPr>
      <w:r>
        <w:t xml:space="preserve">Literature review (Tables 1–2): 7 of 13 studies were assessed from abstract only, yet Table 2 reports "0 of 13" counts. Either read the full texts or restrict counts to full-text entries. Add recent spatial-CV groundwater studies (e.g., USGS nitrate/arsenic models) so the review is not seen as selective.</w:t>
      </w:r>
    </w:p>
    <w:p>
      <w:pPr/>
      <w:r>
        <w:rPr>
          <w:b/>
        </w:rPr>
        <w:t xml:space="preserve">Methods</w:t>
      </w:r>
    </w:p>
    <w:p>
      <w:pPr>
        <w:pStyle w:val="ListParagraph"/>
        <w:numPr>
          <w:ilvl w:val="0"/>
          <w:numId w:val="4"/>
        </w:numPr>
      </w:pPr>
      <w:r>
        <w:t xml:space="preserve">Describe the original analytical methods (ICP-MS, ICP-AES, HG-AFS), sampling (filtered/acidified), and lab QA/QC from the BGS report.</w:t>
      </w:r>
    </w:p>
    <w:p>
      <w:pPr>
        <w:pStyle w:val="ListParagraph"/>
        <w:numPr>
          <w:ilvl w:val="0"/>
          <w:numId w:val="4"/>
        </w:numPr>
      </w:pPr>
      <w:r>
        <w:t xml:space="preserve">Clarify how co-located wells (24 share exact coordinates) are handled in random CV and conformal splits.</w:t>
      </w:r>
    </w:p>
    <w:p>
      <w:pPr>
        <w:pStyle w:val="ListParagraph"/>
        <w:numPr>
          <w:ilvl w:val="0"/>
          <w:numId w:val="4"/>
        </w:numPr>
      </w:pPr>
      <w:r>
        <w:t xml:space="preserve">State the spatial block geometry relative to the variogram ranges you report (Ba/Ni structure to 10–20 km vs 11.4 km median blocks under 16-block design).</w:t>
      </w:r>
    </w:p>
    <w:p>
      <w:pPr>
        <w:pStyle w:val="ListParagraph"/>
        <w:numPr>
          <w:ilvl w:val="0"/>
          <w:numId w:val="4"/>
        </w:numPr>
      </w:pPr>
      <w:r>
        <w:t xml:space="preserve">Learning curves: report median as well as mean; mean R² of −12.4 is a single-fold blow-up.</w:t>
      </w:r>
    </w:p>
    <w:p>
      <w:pPr/>
      <w:r>
        <w:rPr>
          <w:b/>
        </w:rPr>
        <w:t xml:space="preserve">Results and Discussion</w:t>
      </w:r>
    </w:p>
    <w:p>
      <w:pPr>
        <w:pStyle w:val="ListParagraph"/>
        <w:numPr>
          <w:ilvl w:val="0"/>
          <w:numId w:val="5"/>
        </w:numPr>
      </w:pPr>
      <w:r>
        <w:t xml:space="preserve">Discussion repeats most Results numbers verbatim (4.2–4.4). Cut repetition by ~40 % and spend the space comparing with prior work (Tan et al. 2020; Podgorski &amp; Berg 2020; van Geen kit studies).</w:t>
      </w:r>
    </w:p>
    <w:p>
      <w:pPr>
        <w:pStyle w:val="ListParagraph"/>
        <w:numPr>
          <w:ilvl w:val="0"/>
          <w:numId w:val="5"/>
        </w:numPr>
      </w:pPr>
      <w:r>
        <w:t xml:space="preserve">Section 3.9 (geology) uses 3,465 national wells, which overlap the external test set. Fine as descriptive, but say so.</w:t>
      </w:r>
    </w:p>
    <w:p>
      <w:pPr>
        <w:pStyle w:val="ListParagraph"/>
        <w:numPr>
          <w:ilvl w:val="0"/>
          <w:numId w:val="5"/>
        </w:numPr>
      </w:pPr>
      <w:r>
        <w:t xml:space="preserve">Discuss Fe–As decoupling with the established explanations (siderite/FeS sinks, As re-sorption; McArthur et al.) rather than only reporting it.</w:t>
      </w:r>
    </w:p>
    <w:p>
      <w:pPr/>
      <w:r>
        <w:rPr>
          <w:b/>
        </w:rPr>
        <w:t xml:space="preserve">Tables and figures</w:t>
      </w:r>
    </w:p>
    <w:p>
      <w:pPr>
        <w:pStyle w:val="ListParagraph"/>
        <w:numPr>
          <w:ilvl w:val="0"/>
          <w:numId w:val="6"/>
        </w:numPr>
      </w:pPr>
      <w:r>
        <w:t xml:space="preserve">Tables are raw pipeline output: snake_case headers (</w:t>
      </w:r>
      <w:r>
        <w:rPr>
          <w:rStyle w:val="CodeChar"/>
        </w:rPr>
        <w:t xml:space="preserve">median_abs_CBE_pct</w:t>
      </w:r>
      <w:r>
        <w:t xml:space="preserve">, </w:t>
      </w:r>
      <w:r>
        <w:rPr>
          <w:rStyle w:val="CodeChar"/>
        </w:rPr>
        <w:t xml:space="preserve">REF_full_cheap</w:t>
      </w:r>
      <w:r>
        <w:t xml:space="preserve">), Booleans, 4–6 decimals, scientific notation. Rename headers, round to 2–3 significant figures, move T0, T2, T9, T12 and T13 to the supplement, and keep a compact main-text feasibility matrix (metal × tier × validation scheme) as a heatmap figure.</w:t>
      </w:r>
    </w:p>
    <w:p>
      <w:pPr>
        <w:pStyle w:val="ListParagraph"/>
        <w:numPr>
          <w:ilvl w:val="0"/>
          <w:numId w:val="6"/>
        </w:numPr>
      </w:pPr>
      <w:r>
        <w:t xml:space="preserve">Figure 4/5 should show uncertainty (fold SD or CI), not just means.</w:t>
      </w:r>
    </w:p>
    <w:p>
      <w:pPr/>
      <w:r>
        <w:rPr>
          <w:b/>
        </w:rPr>
        <w:t xml:space="preserve">Statements and reproducibility</w:t>
      </w:r>
    </w:p>
    <w:p>
      <w:pPr>
        <w:pStyle w:val="ListParagraph"/>
        <w:numPr>
          <w:ilvl w:val="0"/>
          <w:numId w:val="7"/>
        </w:numPr>
      </w:pPr>
      <w:r>
        <w:t xml:space="preserve">Add Data availability (BGS/DPHE licence and acknowledgement wording), CRediT, Funding, Competing interests.</w:t>
      </w:r>
    </w:p>
    <w:p>
      <w:pPr>
        <w:pStyle w:val="ListParagraph"/>
        <w:numPr>
          <w:ilvl w:val="0"/>
          <w:numId w:val="7"/>
        </w:numPr>
      </w:pPr>
      <w:r>
        <w:t xml:space="preserve">Archive the code with a Zenodo DOI and a descriptive repository name; "ground-water-" looks unfinished.</w:t>
      </w:r>
    </w:p>
    <w:p>
      <w:pPr>
        <w:pStyle w:val="Heading2"/>
      </w:pPr>
      <w:r>
        <w:t xml:space="preserve">Revision checklist and journal fit</w:t>
      </w:r>
    </w:p>
    <w:p>
      <w:pPr/>
      <w:r>
        <w:t xml:space="preserve">Do the first block before anything else: those items can change headline numbers, and the text should be rewritten only after they settle.</w:t>
      </w:r>
    </w:p>
    <w:p>
      <w:pPr/>
      <w:r>
        <w:rPr>
          <w:b/>
        </w:rPr>
        <w:t xml:space="preserve">Must fix (can change results)</w:t>
      </w:r>
    </w:p>
    <w:p>
      <w:pPr>
        <w:pStyle w:val="ListParagraph"/>
        <w:numPr>
          <w:ilvl w:val="0"/>
          <w:numId w:val="8"/>
        </w:numPr>
      </w:pPr>
      <w:r>
        <w:t xml:space="preserve">☐ M1 — Re-select operating thresholds on development out-of-fold predictions; add bootstrap CIs</w:t>
      </w:r>
    </w:p>
    <w:p>
      <w:pPr>
        <w:pStyle w:val="ListParagraph"/>
        <w:numPr>
          <w:ilvl w:val="0"/>
          <w:numId w:val="8"/>
        </w:numPr>
      </w:pPr>
      <w:r>
        <w:t xml:space="preserve">☐ M2 — Fix the conformal quantile (finite-sample correction); re-run Table T3 and T5</w:t>
      </w:r>
    </w:p>
    <w:p>
      <w:pPr>
        <w:pStyle w:val="ListParagraph"/>
        <w:numPr>
          <w:ilvl w:val="0"/>
          <w:numId w:val="8"/>
        </w:numPr>
      </w:pPr>
      <w:r>
        <w:t xml:space="preserve">☐ G2 — Re-implement redox classification with censoring-aware thresholds and mixed classes</w:t>
      </w:r>
    </w:p>
    <w:p>
      <w:pPr>
        <w:pStyle w:val="ListParagraph"/>
        <w:numPr>
          <w:ilvl w:val="0"/>
          <w:numId w:val="8"/>
        </w:numPr>
      </w:pPr>
      <w:r>
        <w:t xml:space="preserve">☐ M5/M6 — Report log-scale metrics, smearing correction; unify target units</w:t>
      </w:r>
    </w:p>
    <w:p>
      <w:pPr>
        <w:pStyle w:val="ListParagraph"/>
        <w:numPr>
          <w:ilvl w:val="0"/>
          <w:numId w:val="8"/>
        </w:numPr>
      </w:pPr>
      <w:r>
        <w:t xml:space="preserve">☐ M7 — Score censoring arms against a common truth; add a Tobit/AFT model; rename "ROS"</w:t>
      </w:r>
    </w:p>
    <w:p>
      <w:pPr>
        <w:pStyle w:val="ListParagraph"/>
        <w:numPr>
          <w:ilvl w:val="0"/>
          <w:numId w:val="8"/>
        </w:numPr>
      </w:pPr>
      <w:r>
        <w:t xml:space="preserve">☐ M10 — Add depth-only and Fe-only AUC baselines; stratify AUC by geology (G8)</w:t>
      </w:r>
    </w:p>
    <w:p>
      <w:pPr/>
      <w:r>
        <w:rPr>
          <w:b/>
        </w:rPr>
        <w:t xml:space="preserve">Must fix (framing)</w:t>
      </w:r>
    </w:p>
    <w:p>
      <w:pPr>
        <w:pStyle w:val="ListParagraph"/>
        <w:numPr>
          <w:ilvl w:val="0"/>
          <w:numId w:val="9"/>
        </w:numPr>
      </w:pPr>
      <w:r>
        <w:t xml:space="preserve">☐ G1 — Rewrite the hypothesis as a two-sided claim (DL ceiling + predictor limit)</w:t>
      </w:r>
    </w:p>
    <w:p>
      <w:pPr>
        <w:pStyle w:val="ListParagraph"/>
        <w:numPr>
          <w:ilvl w:val="0"/>
          <w:numId w:val="9"/>
        </w:numPr>
      </w:pPr>
      <w:r>
        <w:t xml:space="preserve">☐ G4 — Acknowledge Mn as a hazard (WHO 80 µg/L, 2021); verify Bangladesh standard set</w:t>
      </w:r>
    </w:p>
    <w:p>
      <w:pPr>
        <w:pStyle w:val="ListParagraph"/>
        <w:numPr>
          <w:ilvl w:val="0"/>
          <w:numId w:val="9"/>
        </w:numPr>
      </w:pPr>
      <w:r>
        <w:t xml:space="preserve">☐ G5 — Soften the uranium conclusion; add ALE/PDP direction plots</w:t>
      </w:r>
    </w:p>
    <w:p>
      <w:pPr>
        <w:pStyle w:val="ListParagraph"/>
        <w:numPr>
          <w:ilvl w:val="0"/>
          <w:numId w:val="9"/>
        </w:numPr>
      </w:pPr>
      <w:r>
        <w:t xml:space="preserve">☐ Fix every row in the inconsistencies table</w:t>
      </w:r>
    </w:p>
    <w:p>
      <w:pPr/>
      <w:r>
        <w:rPr>
          <w:b/>
        </w:rPr>
        <w:t xml:space="preserve">Should add (strengthens acceptance)</w:t>
      </w:r>
    </w:p>
    <w:p>
      <w:pPr>
        <w:pStyle w:val="ListParagraph"/>
        <w:numPr>
          <w:ilvl w:val="0"/>
          <w:numId w:val="10"/>
        </w:numPr>
      </w:pPr>
      <w:r>
        <w:t xml:space="preserve">☐ M4 — Spatially blocked conformal; weighted conformal and AOA on external wells</w:t>
      </w:r>
    </w:p>
    <w:p>
      <w:pPr>
        <w:pStyle w:val="ListParagraph"/>
        <w:numPr>
          <w:ilvl w:val="0"/>
          <w:numId w:val="10"/>
        </w:numPr>
      </w:pPr>
      <w:r>
        <w:t xml:space="preserve">☐ M3 — CQR or log-scale conformal scores</w:t>
      </w:r>
    </w:p>
    <w:p>
      <w:pPr>
        <w:pStyle w:val="ListParagraph"/>
        <w:numPr>
          <w:ilvl w:val="0"/>
          <w:numId w:val="10"/>
        </w:numPr>
      </w:pPr>
      <w:r>
        <w:t xml:space="preserve">☐ G3 — Measurement-error sensitivity for kit/meter inputs; USD cost table per tier</w:t>
      </w:r>
    </w:p>
    <w:p>
      <w:pPr>
        <w:pStyle w:val="ListParagraph"/>
        <w:numPr>
          <w:ilvl w:val="0"/>
          <w:numId w:val="10"/>
        </w:numPr>
      </w:pPr>
      <w:r>
        <w:t xml:space="preserve">☐ M8 — Corrected resampled t-test; M11 — add XGBoost/LightGBM, multi-seed runs, grids in supplement</w:t>
      </w:r>
    </w:p>
    <w:p>
      <w:pPr>
        <w:pStyle w:val="ListParagraph"/>
        <w:numPr>
          <w:ilvl w:val="0"/>
          <w:numId w:val="10"/>
        </w:numPr>
      </w:pPr>
      <w:r>
        <w:t xml:space="preserve">☐ G7 — Position against sediment-colour and depth-based screening</w:t>
      </w:r>
    </w:p>
    <w:p>
      <w:pPr>
        <w:pStyle w:val="ListParagraph"/>
        <w:numPr>
          <w:ilvl w:val="0"/>
          <w:numId w:val="10"/>
        </w:numPr>
      </w:pPr>
      <w:r>
        <w:t xml:space="preserve">☐ Tables to supplement; heatmap feasibility figure; trimmed Discussion</w:t>
      </w:r>
    </w:p>
    <w:p>
      <w:pPr/>
      <w:r>
        <w:rPr>
          <w:b/>
        </w:rPr>
        <w:t xml:space="preserve">Journal fit.</w:t>
      </w:r>
      <w:r>
        <w:t xml:space="preserve"> The contribution is methodological (honest validation, censoring, uncertainty under transfer) applied to a groundwater problem. That suits </w:t>
      </w:r>
      <w:r>
        <w:rPr>
          <w:i/>
        </w:rPr>
        <w:t xml:space="preserve">Water Research</w:t>
      </w:r>
      <w:r>
        <w:t xml:space="preserve">, </w:t>
      </w:r>
      <w:r>
        <w:rPr>
          <w:i/>
        </w:rPr>
        <w:t xml:space="preserve">ES&amp;T Water</w:t>
      </w:r>
      <w:r>
        <w:t xml:space="preserve">, </w:t>
      </w:r>
      <w:r>
        <w:rPr>
          <w:i/>
        </w:rPr>
        <w:t xml:space="preserve">Science of the Total Environment</w:t>
      </w:r>
      <w:r>
        <w:t xml:space="preserve">, </w:t>
      </w:r>
      <w:r>
        <w:rPr>
          <w:i/>
        </w:rPr>
        <w:t xml:space="preserve">Journal of Hydrology</w:t>
      </w:r>
      <w:r>
        <w:t xml:space="preserve"> or </w:t>
      </w:r>
      <w:r>
        <w:rPr>
          <w:i/>
        </w:rPr>
        <w:t xml:space="preserve">Environmental Modelling &amp; Software</w:t>
      </w:r>
      <w:r>
        <w:t xml:space="preserve">. For </w:t>
      </w:r>
      <w:r>
        <w:rPr>
          <w:i/>
        </w:rPr>
        <w:t xml:space="preserve">Water Research</w:t>
      </w:r>
      <w:r>
        <w:t xml:space="preserve"> or </w:t>
      </w:r>
      <w:r>
        <w:rPr>
          <w:i/>
        </w:rPr>
        <w:t xml:space="preserve">ES&amp;T Water</w:t>
      </w:r>
      <w:r>
        <w:t xml:space="preserve">, the M-items and G1/G2/G4 are non-negotiable and the paper should be cut to ~7,000 words with most tables in the supplement. For STOTEN or J. Hydrology, the current length is closer to acceptable but the same must-fix items apply.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Editorial Review — Surrogate Screening of Trace Metals in Bangladesh Groundwater</dc:title>
  <dc:description>Claude Docs node/114e6af2-8047@8 docx-w7</dc:description>
  <cp:revision>8</cp:revision>
</cp:coreProperties>
</file>