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Verification of the editorial review</w:t>
      </w:r>
    </w:p>
    <w:p>
      <w:r>
        <w:t xml:space="preserve">Every claim in *Editorial Review — Surrogate Screening of Trace Metals in Bangladesh Groundwater* (19 Oct 2026) checked against the code in </w:t>
      </w:r>
      <w:r>
        <w:rPr>
          <w:rFonts w:ascii="Courier New" w:hAnsi="Courier New"/>
          <w:sz w:val="22"/>
        </w:rPr>
        <w:t>03_methods/</w:t>
      </w:r>
      <w:r>
        <w:t xml:space="preserve">, the tables in </w:t>
      </w:r>
      <w:r>
        <w:rPr>
          <w:rFonts w:ascii="Courier New" w:hAnsi="Courier New"/>
          <w:sz w:val="22"/>
        </w:rPr>
        <w:t>04_results/</w:t>
      </w:r>
      <w:r>
        <w:t xml:space="preserve">, and the cleaned data in </w:t>
      </w:r>
      <w:r>
        <w:rPr>
          <w:rFonts w:ascii="Courier New" w:hAnsi="Courier New"/>
          <w:sz w:val="22"/>
        </w:rPr>
        <w:t>00_data/interim/01_clean.csv</w:t>
      </w:r>
      <w:r>
        <w:t>.</w:t>
      </w:r>
    </w:p>
    <w:p>
      <w:r>
        <w:rPr>
          <w:b/>
        </w:rPr>
        <w:t>Bottom line: the review is accurate.</w:t>
      </w:r>
      <w:r>
        <w:t xml:space="preserve"> Of 53 substantive points, 49 stand as written and 4 need amending (M2, M9, G9 and the abstract word count), each correct in substance but carrying a wrong or unverifiable explanation. Nothing in it is invented, and two findings are worse than the reviewer could tell from the manuscript alone.</w:t>
      </w:r>
    </w:p>
    <w:p>
      <w:pPr>
        <w:pStyle w:val="Heading2"/>
      </w:pPr>
      <w:r>
        <w:t>1. The two things that must be fixed first</w:t>
      </w:r>
    </w:p>
    <w:p>
      <w:r>
        <w:rPr>
          <w:b/>
        </w:rPr>
        <w:t>G2 is worse than stated.</w:t>
      </w:r>
      <w:r>
        <w:t xml:space="preserve"> The reviewer suspected the redox classifier lets censored nitrate through a </w:t>
      </w:r>
      <w:r>
        <w:rPr>
          <w:rFonts w:ascii="Courier New" w:hAnsi="Courier New"/>
          <w:sz w:val="22"/>
        </w:rPr>
        <w:t>&gt;= 0.5</w:t>
      </w:r>
      <w:r>
        <w:t xml:space="preserve"> test. It does, and the damage is measurable:</w:t>
      </w:r>
    </w:p>
    <w:tbl>
      <w:tblPr>
        <w:tblStyle w:val="TableGrid"/>
        <w:tblW w:type="auto" w:w="0"/>
        <w:jc w:val="center"/>
        <w:tblLayout w:type="fixed"/>
        <w:tblLook w:firstColumn="1" w:firstRow="1" w:lastColumn="0" w:lastRow="0" w:noHBand="0" w:noVBand="1" w:val="04A0"/>
      </w:tblPr>
      <w:tblGrid>
        <w:gridCol w:w="4680"/>
        <w:gridCol w:w="4680"/>
      </w:tblGrid>
      <w:tr>
        <w:tc>
          <w:tcPr>
            <w:tcW w:type="dxa" w:w="5936"/>
            <w:shd w:val="clear" w:fill="D9D9D9"/>
          </w:tcPr>
          <w:p>
            <w:pPr>
              <w:spacing w:line="240" w:lineRule="auto" w:after="40"/>
              <w:jc w:val="left"/>
            </w:pPr>
            <w:r>
              <w:rPr>
                <w:rFonts w:ascii="Times New Roman" w:hAnsi="Times New Roman"/>
                <w:b/>
                <w:sz w:val="18"/>
              </w:rPr>
            </w:r>
            <w:r>
              <w:rPr>
                <w:rFonts w:ascii="Times New Roman" w:hAnsi="Times New Roman"/>
                <w:b/>
                <w:sz w:val="18"/>
              </w:rPr>
              <w:t>Check</w:t>
            </w:r>
          </w:p>
        </w:tc>
        <w:tc>
          <w:tcPr>
            <w:tcW w:type="dxa" w:w="3424"/>
            <w:shd w:val="clear" w:fill="D9D9D9"/>
          </w:tcPr>
          <w:p>
            <w:pPr>
              <w:spacing w:line="240" w:lineRule="auto" w:after="40"/>
              <w:jc w:val="left"/>
            </w:pPr>
            <w:r>
              <w:rPr>
                <w:rFonts w:ascii="Times New Roman" w:hAnsi="Times New Roman"/>
                <w:b/>
                <w:sz w:val="18"/>
              </w:rPr>
            </w:r>
            <w:r>
              <w:rPr>
                <w:rFonts w:ascii="Times New Roman" w:hAnsi="Times New Roman"/>
                <w:b/>
                <w:sz w:val="18"/>
              </w:rPr>
              <w:t>Result</w:t>
            </w:r>
          </w:p>
        </w:tc>
      </w:tr>
      <w:tr>
        <w:tc>
          <w:tcPr>
            <w:tcW w:type="dxa" w:w="5936"/>
          </w:tcPr>
          <w:p>
            <w:pPr>
              <w:spacing w:line="240" w:lineRule="auto" w:after="40"/>
              <w:jc w:val="left"/>
            </w:pPr>
            <w:r>
              <w:rPr>
                <w:rFonts w:ascii="Times New Roman" w:hAnsi="Times New Roman"/>
                <w:sz w:val="18"/>
              </w:rPr>
            </w:r>
            <w:r>
              <w:rPr>
                <w:rFonts w:ascii="Times New Roman" w:hAnsi="Times New Roman"/>
                <w:sz w:val="18"/>
              </w:rPr>
              <w:t>Wells classed nitrate-reducing</w:t>
            </w:r>
          </w:p>
        </w:tc>
        <w:tc>
          <w:tcPr>
            <w:tcW w:type="dxa" w:w="3424"/>
          </w:tcPr>
          <w:p>
            <w:pPr>
              <w:spacing w:line="240" w:lineRule="auto" w:after="40"/>
              <w:jc w:val="left"/>
            </w:pPr>
            <w:r>
              <w:rPr>
                <w:rFonts w:ascii="Times New Roman" w:hAnsi="Times New Roman"/>
                <w:sz w:val="18"/>
              </w:rPr>
            </w:r>
            <w:r>
              <w:rPr>
                <w:rFonts w:ascii="Times New Roman" w:hAnsi="Times New Roman"/>
                <w:sz w:val="18"/>
              </w:rPr>
              <w:t>65</w:t>
            </w:r>
          </w:p>
        </w:tc>
      </w:tr>
      <w:tr>
        <w:tc>
          <w:tcPr>
            <w:tcW w:type="dxa" w:w="5936"/>
          </w:tcPr>
          <w:p>
            <w:pPr>
              <w:spacing w:line="240" w:lineRule="auto" w:after="40"/>
              <w:jc w:val="left"/>
            </w:pPr>
            <w:r>
              <w:rPr>
                <w:rFonts w:ascii="Times New Roman" w:hAnsi="Times New Roman"/>
                <w:sz w:val="18"/>
              </w:rPr>
            </w:r>
            <w:r>
              <w:rPr>
                <w:rFonts w:ascii="Times New Roman" w:hAnsi="Times New Roman"/>
                <w:sz w:val="18"/>
              </w:rPr>
              <w:t xml:space="preserve">of which NO₃-N is </w:t>
            </w:r>
            <w:r>
              <w:rPr>
                <w:rFonts w:ascii="Times New Roman" w:hAnsi="Times New Roman"/>
                <w:b/>
                <w:sz w:val="18"/>
              </w:rPr>
              <w:t>censored</w:t>
            </w:r>
            <w:r>
              <w:rPr>
                <w:rFonts w:ascii="Times New Roman" w:hAnsi="Times New Roman"/>
                <w:sz w:val="18"/>
              </w:rPr>
              <w:t xml:space="preserve">, carrying the DL 0.5 into a </w:t>
            </w:r>
            <w:r>
              <w:rPr>
                <w:rFonts w:ascii="Times New Roman" w:hAnsi="Times New Roman"/>
                <w:sz w:val="18"/>
              </w:rPr>
              <w:t>&gt;= 0.5</w:t>
            </w:r>
            <w:r>
              <w:rPr>
                <w:rFonts w:ascii="Times New Roman" w:hAnsi="Times New Roman"/>
                <w:sz w:val="18"/>
              </w:rPr>
              <w:t xml:space="preserve"> test</w:t>
            </w:r>
          </w:p>
        </w:tc>
        <w:tc>
          <w:tcPr>
            <w:tcW w:type="dxa" w:w="3424"/>
          </w:tcPr>
          <w:p>
            <w:pPr>
              <w:spacing w:line="240" w:lineRule="auto" w:after="40"/>
              <w:jc w:val="left"/>
            </w:pPr>
            <w:r>
              <w:rPr>
                <w:rFonts w:ascii="Times New Roman" w:hAnsi="Times New Roman"/>
                <w:sz w:val="18"/>
              </w:rPr>
            </w:r>
            <w:r>
              <w:rPr>
                <w:rFonts w:ascii="Times New Roman" w:hAnsi="Times New Roman"/>
                <w:b/>
                <w:sz w:val="18"/>
              </w:rPr>
              <w:t>40 (61.5 %)</w:t>
            </w:r>
          </w:p>
        </w:tc>
      </w:tr>
      <w:tr>
        <w:tc>
          <w:tcPr>
            <w:tcW w:type="dxa" w:w="5936"/>
          </w:tcPr>
          <w:p>
            <w:pPr>
              <w:spacing w:line="240" w:lineRule="auto" w:after="40"/>
              <w:jc w:val="left"/>
            </w:pPr>
            <w:r>
              <w:rPr>
                <w:rFonts w:ascii="Times New Roman" w:hAnsi="Times New Roman"/>
                <w:sz w:val="18"/>
              </w:rPr>
            </w:r>
            <w:r>
              <w:rPr>
                <w:rFonts w:ascii="Times New Roman" w:hAnsi="Times New Roman"/>
                <w:sz w:val="18"/>
              </w:rPr>
              <w:t xml:space="preserve">Meeting the full McMahon and Chapelle criteria (Fe &lt; 0.1 </w:t>
            </w:r>
            <w:r>
              <w:rPr>
                <w:rFonts w:ascii="Times New Roman" w:hAnsi="Times New Roman"/>
                <w:b/>
                <w:sz w:val="18"/>
              </w:rPr>
              <w:t>and</w:t>
            </w:r>
            <w:r>
              <w:rPr>
                <w:rFonts w:ascii="Times New Roman" w:hAnsi="Times New Roman"/>
                <w:sz w:val="18"/>
              </w:rPr>
              <w:t xml:space="preserve"> Mn &lt; 0.05)</w:t>
            </w:r>
          </w:p>
        </w:tc>
        <w:tc>
          <w:tcPr>
            <w:tcW w:type="dxa" w:w="3424"/>
          </w:tcPr>
          <w:p>
            <w:pPr>
              <w:spacing w:line="240" w:lineRule="auto" w:after="40"/>
              <w:jc w:val="left"/>
            </w:pPr>
            <w:r>
              <w:rPr>
                <w:rFonts w:ascii="Times New Roman" w:hAnsi="Times New Roman"/>
                <w:sz w:val="18"/>
              </w:rPr>
            </w:r>
            <w:r>
              <w:rPr>
                <w:rFonts w:ascii="Times New Roman" w:hAnsi="Times New Roman"/>
                <w:b/>
                <w:sz w:val="18"/>
              </w:rPr>
              <w:t>2 of 65</w:t>
            </w:r>
          </w:p>
        </w:tc>
      </w:tr>
      <w:tr>
        <w:tc>
          <w:tcPr>
            <w:tcW w:type="dxa" w:w="5936"/>
          </w:tcPr>
          <w:p>
            <w:pPr>
              <w:spacing w:line="240" w:lineRule="auto" w:after="40"/>
              <w:jc w:val="left"/>
            </w:pPr>
            <w:r>
              <w:rPr>
                <w:rFonts w:ascii="Times New Roman" w:hAnsi="Times New Roman"/>
                <w:sz w:val="18"/>
              </w:rPr>
            </w:r>
            <w:r>
              <w:rPr>
                <w:rFonts w:ascii="Times New Roman" w:hAnsi="Times New Roman"/>
                <w:sz w:val="18"/>
              </w:rPr>
              <w:t>Wells classed oxic meeting the full criteria</w:t>
            </w:r>
          </w:p>
        </w:tc>
        <w:tc>
          <w:tcPr>
            <w:tcW w:type="dxa" w:w="3424"/>
          </w:tcPr>
          <w:p>
            <w:pPr>
              <w:spacing w:line="240" w:lineRule="auto" w:after="40"/>
              <w:jc w:val="left"/>
            </w:pPr>
            <w:r>
              <w:rPr>
                <w:rFonts w:ascii="Times New Roman" w:hAnsi="Times New Roman"/>
                <w:sz w:val="18"/>
              </w:rPr>
            </w:r>
            <w:r>
              <w:rPr>
                <w:rFonts w:ascii="Times New Roman" w:hAnsi="Times New Roman"/>
                <w:b/>
                <w:sz w:val="18"/>
              </w:rPr>
              <w:t>4 of 34</w:t>
            </w:r>
          </w:p>
        </w:tc>
      </w:tr>
    </w:tbl>
    <w:p/>
    <w:p>
      <w:r>
        <w:rPr>
          <w:rFonts w:ascii="Courier New" w:hAnsi="Courier New"/>
          <w:sz w:val="22"/>
        </w:rPr>
        <w:t>classify_redox</w:t>
      </w:r>
      <w:r>
        <w:t xml:space="preserve"> in </w:t>
      </w:r>
      <w:r>
        <w:rPr>
          <w:rFonts w:ascii="Courier New" w:hAnsi="Courier New"/>
          <w:sz w:val="22"/>
        </w:rPr>
        <w:t>35_hydrogeochemistry.py:87</w:t>
      </w:r>
      <w:r>
        <w:t xml:space="preserve"> tests only </w:t>
      </w:r>
      <w:r>
        <w:rPr>
          <w:rFonts w:ascii="Courier New" w:hAnsi="Courier New"/>
          <w:sz w:val="22"/>
        </w:rPr>
        <w:t>no3 &gt;= TH_NO3_N</w:t>
      </w:r>
      <w:r>
        <w:t xml:space="preserve"> and never consults </w:t>
      </w:r>
      <w:r>
        <w:rPr>
          <w:rFonts w:ascii="Courier New" w:hAnsi="Courier New"/>
          <w:sz w:val="22"/>
        </w:rPr>
        <w:t>NO3-N_censored</w:t>
      </w:r>
      <w:r>
        <w:t>, although that column exists and is used elsewhere in the same file (line 265). This is the exact failure mode the paper is about, inside the paper's own mechanistic section. Section 3.8, Table T7, Figure 8 and the Mann-Whitney contrast all rest on it.</w:t>
      </w:r>
    </w:p>
    <w:p>
      <w:r>
        <w:rPr>
          <w:b/>
        </w:rPr>
        <w:t>M2 is real, and the cause is the quantile alone.</w:t>
      </w:r>
      <w:r>
        <w:t xml:space="preserve"> </w:t>
      </w:r>
      <w:r>
        <w:rPr>
          <w:rFonts w:ascii="Courier New" w:hAnsi="Courier New"/>
          <w:sz w:val="22"/>
        </w:rPr>
        <w:t>32_conformal.py:104</w:t>
      </w:r>
      <w:r>
        <w:t xml:space="preserve"> uses </w:t>
      </w:r>
      <w:r>
        <w:rPr>
          <w:rFonts w:ascii="Courier New" w:hAnsi="Courier New"/>
          <w:sz w:val="22"/>
        </w:rPr>
        <w:t>np.quantile(residuals, 1 - alpha)</w:t>
      </w:r>
      <w:r>
        <w:t>, the plain empirical quantile, with no finite-sample correction. With n_cal ≈ 67 the correct order statistic is ⌈(67+1)×0.9⌉/67 = 0.925, not 0.90, which is the right order of magnitude to explain coverage landing at 0.872 to 0.894 across all 23 combinations rather than at or above 0.90.</w:t>
      </w:r>
    </w:p>
    <w:p>
      <w:pPr>
        <w:pStyle w:val="Heading2"/>
      </w:pPr>
      <w:r>
        <w:t>2. Point-by-point verdicts</w:t>
      </w:r>
    </w:p>
    <w:p>
      <w:pPr>
        <w:pStyle w:val="Heading3"/>
      </w:pPr>
      <w:r>
        <w:t>Machine learning and statistics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968"/>
            <w:shd w:val="clear" w:fill="D9D9D9"/>
          </w:tcPr>
          <w:p>
            <w:pPr>
              <w:spacing w:line="240" w:lineRule="auto" w:after="40"/>
              <w:jc w:val="left"/>
            </w:pPr>
            <w:r>
              <w:rPr>
                <w:rFonts w:ascii="Times New Roman" w:hAnsi="Times New Roman"/>
                <w:b/>
                <w:sz w:val="18"/>
              </w:rPr>
            </w:r>
            <w:r>
              <w:rPr>
                <w:rFonts w:ascii="Times New Roman" w:hAnsi="Times New Roman"/>
                <w:b/>
                <w:sz w:val="18"/>
              </w:rPr>
              <w:t>#</w:t>
            </w:r>
          </w:p>
        </w:tc>
        <w:tc>
          <w:tcPr>
            <w:tcW w:type="dxa" w:w="4196"/>
            <w:shd w:val="clear" w:fill="D9D9D9"/>
          </w:tcPr>
          <w:p>
            <w:pPr>
              <w:spacing w:line="240" w:lineRule="auto" w:after="40"/>
              <w:jc w:val="left"/>
            </w:pPr>
            <w:r>
              <w:rPr>
                <w:rFonts w:ascii="Times New Roman" w:hAnsi="Times New Roman"/>
                <w:b/>
                <w:sz w:val="18"/>
              </w:rPr>
            </w:r>
            <w:r>
              <w:rPr>
                <w:rFonts w:ascii="Times New Roman" w:hAnsi="Times New Roman"/>
                <w:b/>
                <w:sz w:val="18"/>
              </w:rPr>
              <w:t>Verdict</w:t>
            </w:r>
          </w:p>
        </w:tc>
        <w:tc>
          <w:tcPr>
            <w:tcW w:type="dxa" w:w="4196"/>
            <w:shd w:val="clear" w:fill="D9D9D9"/>
          </w:tcPr>
          <w:p>
            <w:pPr>
              <w:spacing w:line="240" w:lineRule="auto" w:after="40"/>
              <w:jc w:val="left"/>
            </w:pPr>
            <w:r>
              <w:rPr>
                <w:rFonts w:ascii="Times New Roman" w:hAnsi="Times New Roman"/>
                <w:b/>
                <w:sz w:val="18"/>
              </w:rPr>
            </w:r>
            <w:r>
              <w:rPr>
                <w:rFonts w:ascii="Times New Roman" w:hAnsi="Times New Roman"/>
                <w:b/>
                <w:sz w:val="18"/>
              </w:rPr>
              <w:t>Evidence</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M1</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37_screening_operating_points.py:160-181</w:t>
            </w:r>
            <w:r>
              <w:rPr>
                <w:rFonts w:ascii="Times New Roman" w:hAnsi="Times New Roman"/>
                <w:sz w:val="18"/>
              </w:rPr>
              <w:t xml:space="preserve">. </w:t>
            </w:r>
            <w:r>
              <w:rPr>
                <w:rFonts w:ascii="Times New Roman" w:hAnsi="Times New Roman"/>
                <w:sz w:val="18"/>
              </w:rPr>
              <w:t>sweep</w:t>
            </w:r>
            <w:r>
              <w:rPr>
                <w:rFonts w:ascii="Times New Roman" w:hAnsi="Times New Roman"/>
                <w:sz w:val="18"/>
              </w:rPr>
              <w:t xml:space="preserve"> thresholds are </w:t>
            </w:r>
            <w:r>
              <w:rPr>
                <w:rFonts w:ascii="Times New Roman" w:hAnsi="Times New Roman"/>
                <w:sz w:val="18"/>
              </w:rPr>
              <w:t>np.quantile(scores, ...)</w:t>
            </w:r>
            <w:r>
              <w:rPr>
                <w:rFonts w:ascii="Times New Roman" w:hAnsi="Times New Roman"/>
                <w:sz w:val="18"/>
              </w:rPr>
              <w:t xml:space="preserve"> of </w:t>
            </w:r>
            <w:r>
              <w:rPr>
                <w:rFonts w:ascii="Times New Roman" w:hAnsi="Times New Roman"/>
                <w:b/>
                <w:sz w:val="18"/>
              </w:rPr>
              <w:t>external</w:t>
            </w:r>
            <w:r>
              <w:rPr>
                <w:rFonts w:ascii="Times New Roman" w:hAnsi="Times New Roman"/>
                <w:sz w:val="18"/>
              </w:rPr>
              <w:t xml:space="preserve"> predictions; Youden comes from </w:t>
            </w:r>
            <w:r>
              <w:rPr>
                <w:rFonts w:ascii="Times New Roman" w:hAnsi="Times New Roman"/>
                <w:sz w:val="18"/>
              </w:rPr>
              <w:t>roc_curve(labels, scores)</w:t>
            </w:r>
            <w:r>
              <w:rPr>
                <w:rFonts w:ascii="Times New Roman" w:hAnsi="Times New Roman"/>
                <w:sz w:val="18"/>
              </w:rPr>
              <w:t xml:space="preserve"> on external labels; </w:t>
            </w:r>
            <w:r>
              <w:rPr>
                <w:rFonts w:ascii="Times New Roman" w:hAnsi="Times New Roman"/>
                <w:sz w:val="18"/>
              </w:rPr>
              <w:t>pick()</w:t>
            </w:r>
            <w:r>
              <w:rPr>
                <w:rFonts w:ascii="Times New Roman" w:hAnsi="Times New Roman"/>
                <w:sz w:val="18"/>
              </w:rPr>
              <w:t xml:space="preserve"> then selects the point meeting sensitivity ≥ 0.95 on those same wells. "63 of 64 at 55 % referral" is in-sample with respect to threshold choice.</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M2</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r>
              <w:rPr>
                <w:rFonts w:ascii="Times New Roman" w:hAnsi="Times New Roman"/>
                <w:sz w:val="18"/>
              </w:rPr>
              <w:t>, one wrong alternative</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Quantile confirmed above. The reviewer's second guess, truncation at zero, is </w:t>
            </w:r>
            <w:r>
              <w:rPr>
                <w:rFonts w:ascii="Times New Roman" w:hAnsi="Times New Roman"/>
                <w:b/>
                <w:sz w:val="18"/>
              </w:rPr>
              <w:t>not</w:t>
            </w:r>
            <w:r>
              <w:rPr>
                <w:rFonts w:ascii="Times New Roman" w:hAnsi="Times New Roman"/>
                <w:sz w:val="18"/>
              </w:rPr>
              <w:t xml:space="preserve"> a cause: </w:t>
            </w:r>
            <w:r>
              <w:rPr>
                <w:rFonts w:ascii="Times New Roman" w:hAnsi="Times New Roman"/>
                <w:sz w:val="18"/>
              </w:rPr>
              <w:t>lo = max(pred − q̂, 0)</w:t>
            </w:r>
            <w:r>
              <w:rPr>
                <w:rFonts w:ascii="Times New Roman" w:hAnsi="Times New Roman"/>
                <w:sz w:val="18"/>
              </w:rPr>
              <w:t xml:space="preserve"> cannot lose a true value because y ≥ 0 throughout. Drop that clause.</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M3</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Score is </w:t>
            </w:r>
            <w:r>
              <w:rPr>
                <w:rFonts w:ascii="Times New Roman" w:hAnsi="Times New Roman"/>
                <w:sz w:val="18"/>
              </w:rPr>
              <w:t>abs(y − pred)</w:t>
            </w:r>
            <w:r>
              <w:rPr>
                <w:rFonts w:ascii="Times New Roman" w:hAnsi="Times New Roman"/>
                <w:sz w:val="18"/>
              </w:rPr>
              <w:t xml:space="preserve"> on the original scale, so intervals are symmetric and constant-width. Arsenic widths 220.6 to 238.8 µg/L follow from that choice, not from conformal prediction as such.</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M4</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split_conformal</w:t>
            </w:r>
            <w:r>
              <w:rPr>
                <w:rFonts w:ascii="Times New Roman" w:hAnsi="Times New Roman"/>
                <w:sz w:val="18"/>
              </w:rPr>
              <w:t xml:space="preserve"> uses </w:t>
            </w:r>
            <w:r>
              <w:rPr>
                <w:rFonts w:ascii="Times New Roman" w:hAnsi="Times New Roman"/>
                <w:sz w:val="18"/>
              </w:rPr>
              <w:t>rng.permutation(n)</w:t>
            </w:r>
            <w:r>
              <w:rPr>
                <w:rFonts w:ascii="Times New Roman" w:hAnsi="Times New Roman"/>
                <w:sz w:val="18"/>
              </w:rPr>
              <w:t xml:space="preserve">. Grep across </w:t>
            </w:r>
            <w:r>
              <w:rPr>
                <w:rFonts w:ascii="Times New Roman" w:hAnsi="Times New Roman"/>
                <w:sz w:val="18"/>
              </w:rPr>
              <w:t>03_methods/*.py</w:t>
            </w:r>
            <w:r>
              <w:rPr>
                <w:rFonts w:ascii="Times New Roman" w:hAnsi="Times New Roman"/>
                <w:sz w:val="18"/>
              </w:rPr>
              <w:t xml:space="preserve"> for AOA, dissimilarity index, weighted conformal and covariate shift returns </w:t>
            </w:r>
            <w:r>
              <w:rPr>
                <w:rFonts w:ascii="Times New Roman" w:hAnsi="Times New Roman"/>
                <w:b/>
                <w:sz w:val="18"/>
              </w:rPr>
              <w:t>zero hits</w:t>
            </w:r>
            <w:r>
              <w:rPr>
                <w:rFonts w:ascii="Times New Roman" w:hAnsi="Times New Roman"/>
                <w:sz w:val="18"/>
              </w:rPr>
              <w:t>: [50] and [63] are cited in the Introduction and never applied.</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M5</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expm1(predict(log1p(y)))</w:t>
            </w:r>
            <w:r>
              <w:rPr>
                <w:rFonts w:ascii="Times New Roman" w:hAnsi="Times New Roman"/>
                <w:sz w:val="18"/>
              </w:rPr>
              <w:t xml:space="preserve"> with no smearing correction, scored on the original scale, in five scripts: 31, 34, 36, 37, 41.</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M6</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T0: Ba is the only target in mg/L (0.005 to 0.657); every other target is µg/L. </w:t>
            </w:r>
            <w:r>
              <w:rPr>
                <w:rFonts w:ascii="Times New Roman" w:hAnsi="Times New Roman"/>
                <w:sz w:val="18"/>
              </w:rPr>
              <w:t>log1p</w:t>
            </w:r>
            <w:r>
              <w:rPr>
                <w:rFonts w:ascii="Times New Roman" w:hAnsi="Times New Roman"/>
                <w:sz w:val="18"/>
              </w:rPr>
              <w:t xml:space="preserve"> is near-identity for Ba and strongly compressive for the rest.</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M7</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 on all three sub-points</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(a) </w:t>
            </w:r>
            <w:r>
              <w:rPr>
                <w:rFonts w:ascii="Times New Roman" w:hAnsi="Times New Roman"/>
                <w:sz w:val="18"/>
              </w:rPr>
              <w:t>33_censoring_comparison.py:135-175</w:t>
            </w:r>
            <w:r>
              <w:rPr>
                <w:rFonts w:ascii="Times New Roman" w:hAnsi="Times New Roman"/>
                <w:sz w:val="18"/>
              </w:rPr>
              <w:t xml:space="preserve"> rebuilds the whole </w:t>
            </w:r>
            <w:r>
              <w:rPr>
                <w:rFonts w:ascii="Times New Roman" w:hAnsi="Times New Roman"/>
                <w:sz w:val="18"/>
              </w:rPr>
              <w:t>y</w:t>
            </w:r>
            <w:r>
              <w:rPr>
                <w:rFonts w:ascii="Times New Roman" w:hAnsi="Times New Roman"/>
                <w:sz w:val="18"/>
              </w:rPr>
              <w:t xml:space="preserve"> vector per arm and scores </w:t>
            </w:r>
            <w:r>
              <w:rPr>
                <w:rFonts w:ascii="Times New Roman" w:hAnsi="Times New Roman"/>
                <w:sz w:val="18"/>
              </w:rPr>
              <w:t>r2_score(y[te], p)</w:t>
            </w:r>
            <w:r>
              <w:rPr>
                <w:rFonts w:ascii="Times New Roman" w:hAnsi="Times New Roman"/>
                <w:sz w:val="18"/>
              </w:rPr>
              <w:t xml:space="preserve"> against that arm's own </w:t>
            </w:r>
            <w:r>
              <w:rPr>
                <w:rFonts w:ascii="Times New Roman" w:hAnsi="Times New Roman"/>
                <w:sz w:val="18"/>
              </w:rPr>
              <w:t>y</w:t>
            </w:r>
            <w:r>
              <w:rPr>
                <w:rFonts w:ascii="Times New Roman" w:hAnsi="Times New Roman"/>
                <w:sz w:val="18"/>
              </w:rPr>
              <w:t xml:space="preserve">, so four arms are judged against four truths. (b) </w:t>
            </w:r>
            <w:r>
              <w:rPr>
                <w:rFonts w:ascii="Times New Roman" w:hAnsi="Times New Roman"/>
                <w:sz w:val="18"/>
              </w:rPr>
              <w:t>ros_impute</w:t>
            </w:r>
            <w:r>
              <w:rPr>
                <w:rFonts w:ascii="Times New Roman" w:hAnsi="Times New Roman"/>
                <w:sz w:val="18"/>
              </w:rPr>
              <w:t xml:space="preserve"> fits a lognormal to detects and draws each censored value from the truncated distribution: that is stochastic conditional imputation, not regression on order statistics, and it is a single draw, not multiple imputation. (c) No Tobit or AFT learner exists anywhere in </w:t>
            </w:r>
            <w:r>
              <w:rPr>
                <w:rFonts w:ascii="Times New Roman" w:hAnsi="Times New Roman"/>
                <w:sz w:val="18"/>
              </w:rPr>
              <w:t>03_methods/</w:t>
            </w:r>
            <w:r>
              <w:rPr>
                <w:rFonts w:ascii="Times New Roman" w:hAnsi="Times New Roman"/>
                <w:sz w:val="18"/>
              </w:rPr>
              <w:t>.</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M8</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RepeatedKFold(n_splits=5, n_repeats=5)</w:t>
            </w:r>
            <w:r>
              <w:rPr>
                <w:rFonts w:ascii="Times New Roman" w:hAnsi="Times New Roman"/>
                <w:sz w:val="18"/>
              </w:rPr>
              <w:t xml:space="preserve"> then </w:t>
            </w:r>
            <w:r>
              <w:rPr>
                <w:rFonts w:ascii="Times New Roman" w:hAnsi="Times New Roman"/>
                <w:sz w:val="18"/>
              </w:rPr>
              <w:t>wilcoxon</w:t>
            </w:r>
            <w:r>
              <w:rPr>
                <w:rFonts w:ascii="Times New Roman" w:hAnsi="Times New Roman"/>
                <w:sz w:val="18"/>
              </w:rPr>
              <w:t xml:space="preserve"> over the resulting 25 dependent scores, in both </w:t>
            </w:r>
            <w:r>
              <w:rPr>
                <w:rFonts w:ascii="Times New Roman" w:hAnsi="Times New Roman"/>
                <w:sz w:val="18"/>
              </w:rPr>
              <w:t>31_feasibility_audit.py:178</w:t>
            </w:r>
            <w:r>
              <w:rPr>
                <w:rFonts w:ascii="Times New Roman" w:hAnsi="Times New Roman"/>
                <w:sz w:val="18"/>
              </w:rPr>
              <w:t xml:space="preserve"> and </w:t>
            </w:r>
            <w:r>
              <w:rPr>
                <w:rFonts w:ascii="Times New Roman" w:hAnsi="Times New Roman"/>
                <w:sz w:val="18"/>
              </w:rPr>
              <w:t>36_spatial_cv.py:214</w:t>
            </w:r>
            <w:r>
              <w:rPr>
                <w:rFonts w:ascii="Times New Roman" w:hAnsi="Times New Roman"/>
                <w:sz w:val="18"/>
              </w:rPr>
              <w:t>.</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M9</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 in substance, wrong on one cause</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Numbers exact: As Fe drop 0.3928 against T2 R² 0.1040; U Fe drop 0.98246 against 0.3233. Importance </w:t>
            </w:r>
            <w:r>
              <w:rPr>
                <w:rFonts w:ascii="Times New Roman" w:hAnsi="Times New Roman"/>
                <w:b/>
                <w:sz w:val="18"/>
              </w:rPr>
              <w:t>is</w:t>
            </w:r>
            <w:r>
              <w:rPr>
                <w:rFonts w:ascii="Times New Roman" w:hAnsi="Times New Roman"/>
                <w:sz w:val="18"/>
              </w:rPr>
              <w:t xml:space="preserve"> computed on held-out folds (</w:t>
            </w:r>
            <w:r>
              <w:rPr>
                <w:rFonts w:ascii="Times New Roman" w:hAnsi="Times New Roman"/>
                <w:sz w:val="18"/>
              </w:rPr>
              <w:t>permutation_importance(..., X[te], y[te])</w:t>
            </w:r>
            <w:r>
              <w:rPr>
                <w:rFonts w:ascii="Times New Roman" w:hAnsi="Times New Roman"/>
                <w:sz w:val="18"/>
              </w:rPr>
              <w:t xml:space="preserve">), so "or on training data" is wrong. The real cause is scale: </w:t>
            </w:r>
            <w:r>
              <w:rPr>
                <w:rFonts w:ascii="Times New Roman" w:hAnsi="Times New Roman"/>
                <w:sz w:val="18"/>
              </w:rPr>
              <w:t>40_feature_importance.py:95</w:t>
            </w:r>
            <w:r>
              <w:rPr>
                <w:rFonts w:ascii="Times New Roman" w:hAnsi="Times New Roman"/>
                <w:sz w:val="18"/>
              </w:rPr>
              <w:t xml:space="preserve"> sets </w:t>
            </w:r>
            <w:r>
              <w:rPr>
                <w:rFonts w:ascii="Times New Roman" w:hAnsi="Times New Roman"/>
                <w:sz w:val="18"/>
              </w:rPr>
              <w:t>y = np.log1p(...)</w:t>
            </w:r>
            <w:r>
              <w:rPr>
                <w:rFonts w:ascii="Times New Roman" w:hAnsi="Times New Roman"/>
                <w:sz w:val="18"/>
              </w:rPr>
              <w:t xml:space="preserve"> and scores </w:t>
            </w:r>
            <w:r>
              <w:rPr>
                <w:rFonts w:ascii="Times New Roman" w:hAnsi="Times New Roman"/>
                <w:sz w:val="18"/>
              </w:rPr>
              <w:t>r2</w:t>
            </w:r>
            <w:r>
              <w:rPr>
                <w:rFonts w:ascii="Times New Roman" w:hAnsi="Times New Roman"/>
                <w:sz w:val="18"/>
              </w:rPr>
              <w:t xml:space="preserve"> on the log scale, while T2 reports original-scale R². The two are simply not comparable, which is the reviewer's point.</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M10</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No single-variable or simple-rule baseline exists in </w:t>
            </w:r>
            <w:r>
              <w:rPr>
                <w:rFonts w:ascii="Times New Roman" w:hAnsi="Times New Roman"/>
                <w:sz w:val="18"/>
              </w:rPr>
              <w:t>37_screening_operating_points.py</w:t>
            </w:r>
            <w:r>
              <w:rPr>
                <w:rFonts w:ascii="Times New Roman" w:hAnsi="Times New Roman"/>
                <w:sz w:val="18"/>
              </w:rPr>
              <w:t xml:space="preserve"> or anywhere else.</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M11</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Model grid is Ridge, ElasticNet, Huber, SVR, RandomForest. No gradient boosting of any kind.</w:t>
            </w:r>
          </w:p>
        </w:tc>
      </w:tr>
    </w:tbl>
    <w:p/>
    <w:p>
      <w:pPr>
        <w:pStyle w:val="Heading3"/>
      </w:pPr>
      <w:r>
        <w:t>Groundwater and hydrogeochemistry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968"/>
            <w:shd w:val="clear" w:fill="D9D9D9"/>
          </w:tcPr>
          <w:p>
            <w:pPr>
              <w:spacing w:line="240" w:lineRule="auto" w:after="40"/>
              <w:jc w:val="left"/>
            </w:pPr>
            <w:r>
              <w:rPr>
                <w:rFonts w:ascii="Times New Roman" w:hAnsi="Times New Roman"/>
                <w:b/>
                <w:sz w:val="18"/>
              </w:rPr>
            </w:r>
            <w:r>
              <w:rPr>
                <w:rFonts w:ascii="Times New Roman" w:hAnsi="Times New Roman"/>
                <w:b/>
                <w:sz w:val="18"/>
              </w:rPr>
              <w:t>#</w:t>
            </w:r>
          </w:p>
        </w:tc>
        <w:tc>
          <w:tcPr>
            <w:tcW w:type="dxa" w:w="4196"/>
            <w:shd w:val="clear" w:fill="D9D9D9"/>
          </w:tcPr>
          <w:p>
            <w:pPr>
              <w:spacing w:line="240" w:lineRule="auto" w:after="40"/>
              <w:jc w:val="left"/>
            </w:pPr>
            <w:r>
              <w:rPr>
                <w:rFonts w:ascii="Times New Roman" w:hAnsi="Times New Roman"/>
                <w:b/>
                <w:sz w:val="18"/>
              </w:rPr>
            </w:r>
            <w:r>
              <w:rPr>
                <w:rFonts w:ascii="Times New Roman" w:hAnsi="Times New Roman"/>
                <w:b/>
                <w:sz w:val="18"/>
              </w:rPr>
              <w:t>Verdict</w:t>
            </w:r>
          </w:p>
        </w:tc>
        <w:tc>
          <w:tcPr>
            <w:tcW w:type="dxa" w:w="4196"/>
            <w:shd w:val="clear" w:fill="D9D9D9"/>
          </w:tcPr>
          <w:p>
            <w:pPr>
              <w:spacing w:line="240" w:lineRule="auto" w:after="40"/>
              <w:jc w:val="left"/>
            </w:pPr>
            <w:r>
              <w:rPr>
                <w:rFonts w:ascii="Times New Roman" w:hAnsi="Times New Roman"/>
                <w:b/>
                <w:sz w:val="18"/>
              </w:rPr>
            </w:r>
            <w:r>
              <w:rPr>
                <w:rFonts w:ascii="Times New Roman" w:hAnsi="Times New Roman"/>
                <w:b/>
                <w:sz w:val="18"/>
              </w:rPr>
              <w:t>Evidence</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G1</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Ni (1.1 % censored), Zn (0.4 %) and Pb (12.5 %) are feasible at </w:t>
            </w:r>
            <w:r>
              <w:rPr>
                <w:rFonts w:ascii="Times New Roman" w:hAnsi="Times New Roman"/>
                <w:b/>
                <w:sz w:val="18"/>
              </w:rPr>
              <w:t>no</w:t>
            </w:r>
            <w:r>
              <w:rPr>
                <w:rFonts w:ascii="Times New Roman" w:hAnsi="Times New Roman"/>
                <w:sz w:val="18"/>
              </w:rPr>
              <w:t xml:space="preserve"> tier under </w:t>
            </w:r>
            <w:r>
              <w:rPr>
                <w:rFonts w:ascii="Times New Roman" w:hAnsi="Times New Roman"/>
                <w:b/>
                <w:sz w:val="18"/>
              </w:rPr>
              <w:t>either</w:t>
            </w:r>
            <w:r>
              <w:rPr>
                <w:rFonts w:ascii="Times New Roman" w:hAnsi="Times New Roman"/>
                <w:sz w:val="18"/>
              </w:rPr>
              <w:t xml:space="preserve"> blocking scheme. Low censoring plainly does not imply modellable, so the one-sided hypothesis is falsified by the paper's own Table T9.</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G2</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 and worse</w:t>
            </w:r>
          </w:p>
        </w:tc>
        <w:tc>
          <w:tcPr>
            <w:tcW w:type="dxa" w:w="4196"/>
          </w:tcPr>
          <w:p>
            <w:pPr>
              <w:spacing w:line="240" w:lineRule="auto" w:after="40"/>
              <w:jc w:val="left"/>
            </w:pPr>
            <w:r>
              <w:rPr>
                <w:rFonts w:ascii="Times New Roman" w:hAnsi="Times New Roman"/>
                <w:sz w:val="18"/>
              </w:rPr>
            </w:r>
            <w:r>
              <w:rPr>
                <w:rFonts w:ascii="Times New Roman" w:hAnsi="Times New Roman"/>
                <w:sz w:val="18"/>
              </w:rPr>
              <w:t>See Section 1.</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G3</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Fe and Mn in this file are ICP determinations on filtered, acidified samples, per </w:t>
            </w:r>
            <w:r>
              <w:rPr>
                <w:rFonts w:ascii="Times New Roman" w:hAnsi="Times New Roman"/>
                <w:sz w:val="18"/>
              </w:rPr>
              <w:t>00_data/README.md</w:t>
            </w:r>
            <w:r>
              <w:rPr>
                <w:rFonts w:ascii="Times New Roman" w:hAnsi="Times New Roman"/>
                <w:sz w:val="18"/>
              </w:rPr>
              <w:t>. The E2 tier is therefore a laboratory proxy for a field kit, and the cost ladder prices nothing: there is no USD figure anywhere in the manuscript.</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G4</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Mn median </w:t>
            </w:r>
            <w:r>
              <w:rPr>
                <w:rFonts w:ascii="Times New Roman" w:hAnsi="Times New Roman"/>
                <w:b/>
                <w:sz w:val="18"/>
              </w:rPr>
              <w:t>543 µg/L</w:t>
            </w:r>
            <w:r>
              <w:rPr>
                <w:rFonts w:ascii="Times New Roman" w:hAnsi="Times New Roman"/>
                <w:sz w:val="18"/>
              </w:rPr>
              <w:t xml:space="preserve"> exactly as stated. WHO lowered the manganese health-based value to </w:t>
            </w:r>
            <w:r>
              <w:rPr>
                <w:rFonts w:ascii="Times New Roman" w:hAnsi="Times New Roman"/>
                <w:b/>
                <w:sz w:val="18"/>
              </w:rPr>
              <w:t>80 µg/L</w:t>
            </w:r>
            <w:r>
              <w:rPr>
                <w:rFonts w:ascii="Times New Roman" w:hAnsi="Times New Roman"/>
                <w:sz w:val="18"/>
              </w:rPr>
              <w:t xml:space="preserve"> (2021, provisional, driven by bottle-fed infants), replacing 400 µg/L. </w:t>
            </w:r>
            <w:r>
              <w:rPr>
                <w:rFonts w:ascii="Times New Roman" w:hAnsi="Times New Roman"/>
                <w:b/>
                <w:sz w:val="18"/>
              </w:rPr>
              <w:t>90.4 %</w:t>
            </w:r>
            <w:r>
              <w:rPr>
                <w:rFonts w:ascii="Times New Roman" w:hAnsi="Times New Roman"/>
                <w:sz w:val="18"/>
              </w:rPr>
              <w:t xml:space="preserve"> of these wells exceed 80 µg/L and 84.1 % exceed 100 µg/L. Mn is a predictor, not one of the thirteen targets, but the abstract and Conclusion 6 say "hazardous here" without that qualification.</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G5</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U exceeds 30 µg/L in exactly 4 of 271 wells. A regression R² of 0.25 to 0.35 on a 4-positive target supports no screening claim, so "uranium is the clearer case" overreaches.</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G6</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T7 gives median Eh of </w:t>
            </w:r>
            <w:r>
              <w:rPr>
                <w:rFonts w:ascii="Times New Roman" w:hAnsi="Times New Roman"/>
                <w:b/>
                <w:sz w:val="18"/>
              </w:rPr>
              <w:t>+71.5 mV</w:t>
            </w:r>
            <w:r>
              <w:rPr>
                <w:rFonts w:ascii="Times New Roman" w:hAnsi="Times New Roman"/>
                <w:sz w:val="18"/>
              </w:rPr>
              <w:t xml:space="preserve"> in the sulfate-reducing and methanogenic class, which is not credible as a redox measure, and Eh carries a permutation share of </w:t>
            </w:r>
            <w:r>
              <w:rPr>
                <w:rFonts w:ascii="Times New Roman" w:hAnsi="Times New Roman"/>
                <w:b/>
                <w:sz w:val="18"/>
              </w:rPr>
              <w:t>0.0037</w:t>
            </w:r>
            <w:r>
              <w:rPr>
                <w:rFonts w:ascii="Times New Roman" w:hAnsi="Times New Roman"/>
                <w:sz w:val="18"/>
              </w:rPr>
              <w:t xml:space="preserve"> for arsenic, effectively zero.</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G7</w:t>
            </w:r>
          </w:p>
        </w:tc>
        <w:tc>
          <w:tcPr>
            <w:tcW w:type="dxa" w:w="4196"/>
          </w:tcPr>
          <w:p>
            <w:pPr>
              <w:spacing w:line="240" w:lineRule="auto" w:after="40"/>
              <w:jc w:val="left"/>
            </w:pPr>
            <w:r>
              <w:rPr>
                <w:rFonts w:ascii="Times New Roman" w:hAnsi="Times New Roman"/>
                <w:sz w:val="18"/>
              </w:rPr>
            </w:r>
            <w:r>
              <w:rPr>
                <w:rFonts w:ascii="Times New Roman" w:hAnsi="Times New Roman"/>
                <w:b/>
                <w:sz w:val="18"/>
              </w:rPr>
              <w:t>Valid, not checkable here</w:t>
            </w:r>
          </w:p>
        </w:tc>
        <w:tc>
          <w:tcPr>
            <w:tcW w:type="dxa" w:w="4196"/>
          </w:tcPr>
          <w:p>
            <w:pPr>
              <w:spacing w:line="240" w:lineRule="auto" w:after="40"/>
              <w:jc w:val="left"/>
            </w:pPr>
            <w:r>
              <w:rPr>
                <w:rFonts w:ascii="Times New Roman" w:hAnsi="Times New Roman"/>
                <w:sz w:val="18"/>
              </w:rPr>
            </w:r>
            <w:r>
              <w:rPr>
                <w:rFonts w:ascii="Times New Roman" w:hAnsi="Times New Roman"/>
                <w:sz w:val="18"/>
              </w:rPr>
              <w:t>A literature positioning request. Sediment-colour and depth-based screening are genuinely the operative field alternatives and are absent from the manuscript.</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G8</w:t>
            </w:r>
          </w:p>
        </w:tc>
        <w:tc>
          <w:tcPr>
            <w:tcW w:type="dxa" w:w="4196"/>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T14: Barind Clay Residuum (n = 205) and Madhupur Clay Residuum (n = 73) have </w:t>
            </w:r>
            <w:r>
              <w:rPr>
                <w:rFonts w:ascii="Times New Roman" w:hAnsi="Times New Roman"/>
                <w:b/>
                <w:sz w:val="18"/>
              </w:rPr>
              <w:t>0.0 %</w:t>
            </w:r>
            <w:r>
              <w:rPr>
                <w:rFonts w:ascii="Times New Roman" w:hAnsi="Times New Roman"/>
                <w:sz w:val="18"/>
              </w:rPr>
              <w:t xml:space="preserve"> exceedance. These are easy negatives and they do inflate AUC on the pooled external set.</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G9</w:t>
            </w:r>
          </w:p>
        </w:tc>
        <w:tc>
          <w:tcPr>
            <w:tcW w:type="dxa" w:w="4196"/>
          </w:tcPr>
          <w:p>
            <w:pPr>
              <w:spacing w:line="240" w:lineRule="auto" w:after="40"/>
              <w:jc w:val="left"/>
            </w:pPr>
            <w:r>
              <w:rPr>
                <w:rFonts w:ascii="Times New Roman" w:hAnsi="Times New Roman"/>
                <w:sz w:val="18"/>
              </w:rPr>
            </w:r>
            <w:r>
              <w:rPr>
                <w:rFonts w:ascii="Times New Roman" w:hAnsi="Times New Roman"/>
                <w:b/>
                <w:sz w:val="18"/>
              </w:rPr>
              <w:t>Partly checkable</w:t>
            </w:r>
          </w:p>
        </w:tc>
        <w:tc>
          <w:tcPr>
            <w:tcW w:type="dxa" w:w="4196"/>
          </w:tcPr>
          <w:p>
            <w:pPr>
              <w:spacing w:line="240" w:lineRule="auto" w:after="40"/>
              <w:jc w:val="left"/>
            </w:pPr>
            <w:r>
              <w:rPr>
                <w:rFonts w:ascii="Times New Roman" w:hAnsi="Times New Roman"/>
                <w:sz w:val="18"/>
              </w:rPr>
            </w:r>
            <w:r>
              <w:rPr>
                <w:rFonts w:ascii="Times New Roman" w:hAnsi="Times New Roman"/>
                <w:sz w:val="18"/>
              </w:rPr>
              <w:t xml:space="preserve">PHREEQC request is a reasonable Q1 expectation. I could not locate a reported p = 1.000 for the As(III) test in </w:t>
            </w:r>
            <w:r>
              <w:rPr>
                <w:rFonts w:ascii="Times New Roman" w:hAnsi="Times New Roman"/>
                <w:sz w:val="18"/>
              </w:rPr>
              <w:t>35_geochem.json</w:t>
            </w:r>
            <w:r>
              <w:rPr>
                <w:rFonts w:ascii="Times New Roman" w:hAnsi="Times New Roman"/>
                <w:sz w:val="18"/>
              </w:rPr>
              <w:t>; ask the reviewer which line they mean, or state the test name and statistic explicitly so the question cannot arise.</w:t>
            </w:r>
          </w:p>
        </w:tc>
      </w:tr>
      <w:tr>
        <w:tc>
          <w:tcPr>
            <w:tcW w:type="dxa" w:w="968"/>
          </w:tcPr>
          <w:p>
            <w:pPr>
              <w:spacing w:line="240" w:lineRule="auto" w:after="40"/>
              <w:jc w:val="left"/>
            </w:pPr>
            <w:r>
              <w:rPr>
                <w:rFonts w:ascii="Times New Roman" w:hAnsi="Times New Roman"/>
                <w:sz w:val="18"/>
              </w:rPr>
            </w:r>
            <w:r>
              <w:rPr>
                <w:rFonts w:ascii="Times New Roman" w:hAnsi="Times New Roman"/>
                <w:sz w:val="18"/>
              </w:rPr>
              <w:t>G10</w:t>
            </w:r>
          </w:p>
        </w:tc>
        <w:tc>
          <w:tcPr>
            <w:tcW w:type="dxa" w:w="4196"/>
          </w:tcPr>
          <w:p>
            <w:pPr>
              <w:spacing w:line="240" w:lineRule="auto" w:after="40"/>
              <w:jc w:val="left"/>
            </w:pPr>
            <w:r>
              <w:rPr>
                <w:rFonts w:ascii="Times New Roman" w:hAnsi="Times New Roman"/>
                <w:sz w:val="18"/>
              </w:rPr>
            </w:r>
            <w:r>
              <w:rPr>
                <w:rFonts w:ascii="Times New Roman" w:hAnsi="Times New Roman"/>
                <w:b/>
                <w:sz w:val="18"/>
              </w:rPr>
              <w:t>Valid</w:t>
            </w:r>
          </w:p>
        </w:tc>
        <w:tc>
          <w:tcPr>
            <w:tcW w:type="dxa" w:w="4196"/>
          </w:tcPr>
          <w:p>
            <w:pPr>
              <w:spacing w:line="240" w:lineRule="auto" w:after="40"/>
              <w:jc w:val="left"/>
            </w:pPr>
            <w:r>
              <w:rPr>
                <w:rFonts w:ascii="Times New Roman" w:hAnsi="Times New Roman"/>
                <w:sz w:val="18"/>
              </w:rPr>
            </w:r>
            <w:r>
              <w:rPr>
                <w:rFonts w:ascii="Times New Roman" w:hAnsi="Times New Roman"/>
                <w:sz w:val="18"/>
              </w:rPr>
              <w:t>Framing request, correct on the facts: this is the only component carrying field Eh, DO and DOC with a full trace-metal suite, which is already stated in Methods 2.1 but not used as the justification it is.</w:t>
            </w:r>
          </w:p>
        </w:tc>
      </w:tr>
    </w:tbl>
    <w:p/>
    <w:p>
      <w:pPr>
        <w:pStyle w:val="Heading3"/>
      </w:pPr>
      <w:r>
        <w:t>Internal inconsistencies</w:t>
      </w:r>
    </w:p>
    <w:p>
      <w:r>
        <w:t>All seventeen rows check out. Detail where it matters: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9D9D9"/>
          </w:tcPr>
          <w:p>
            <w:pPr>
              <w:spacing w:line="240" w:lineRule="auto" w:after="40"/>
              <w:jc w:val="left"/>
            </w:pPr>
            <w:r>
              <w:rPr>
                <w:rFonts w:ascii="Times New Roman" w:hAnsi="Times New Roman"/>
                <w:b/>
                <w:sz w:val="18"/>
              </w:rPr>
            </w:r>
            <w:r>
              <w:rPr>
                <w:rFonts w:ascii="Times New Roman" w:hAnsi="Times New Roman"/>
                <w:b/>
                <w:sz w:val="18"/>
              </w:rPr>
              <w:t>Row</w:t>
            </w:r>
          </w:p>
        </w:tc>
        <w:tc>
          <w:tcPr>
            <w:tcW w:type="dxa" w:w="3120"/>
            <w:shd w:val="clear" w:fill="D9D9D9"/>
          </w:tcPr>
          <w:p>
            <w:pPr>
              <w:spacing w:line="240" w:lineRule="auto" w:after="40"/>
              <w:jc w:val="left"/>
            </w:pPr>
            <w:r>
              <w:rPr>
                <w:rFonts w:ascii="Times New Roman" w:hAnsi="Times New Roman"/>
                <w:b/>
                <w:sz w:val="18"/>
              </w:rPr>
            </w:r>
            <w:r>
              <w:rPr>
                <w:rFonts w:ascii="Times New Roman" w:hAnsi="Times New Roman"/>
                <w:b/>
                <w:sz w:val="18"/>
              </w:rPr>
              <w:t>Verdict</w:t>
            </w:r>
          </w:p>
        </w:tc>
        <w:tc>
          <w:tcPr>
            <w:tcW w:type="dxa" w:w="3120"/>
            <w:shd w:val="clear" w:fill="D9D9D9"/>
          </w:tcPr>
          <w:p>
            <w:pPr>
              <w:spacing w:line="240" w:lineRule="auto" w:after="40"/>
              <w:jc w:val="left"/>
            </w:pPr>
            <w:r>
              <w:rPr>
                <w:rFonts w:ascii="Times New Roman" w:hAnsi="Times New Roman"/>
                <w:b/>
                <w:sz w:val="18"/>
              </w:rPr>
            </w:r>
            <w:r>
              <w:rPr>
                <w:rFonts w:ascii="Times New Roman" w:hAnsi="Times New Roman"/>
                <w:b/>
                <w:sz w:val="18"/>
              </w:rPr>
              <w:t>Evidence</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Ni limit 20 vs 70</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T1 says 20.0, T0b says 70.0. WHO is 70; T1 is wrong.</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Se "7 % censored"</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T0: n_valid 19, n_censored 19, pct 7.0. The percentage is over all 271 rows, not the 19 measured. All measured Se is censored.</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Cu min 0.03 vs DL 1</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T0 min 0.03, detection_limits "1".</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DOC min 0</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T0 min 0.0 with DLs 0.1 and 1.</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pH unit "nan"</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 xml:space="preserve">T0 prints </w:t>
            </w:r>
            <w:r>
              <w:rPr>
                <w:rFonts w:ascii="Times New Roman" w:hAnsi="Times New Roman"/>
                <w:sz w:val="18"/>
              </w:rPr>
              <w:t>nan</w:t>
            </w:r>
            <w:r>
              <w:rPr>
                <w:rFonts w:ascii="Times New Roman" w:hAnsi="Times New Roman"/>
                <w:sz w:val="18"/>
              </w:rPr>
              <w:t>.</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Zn and Mo labelled WHO guidelines</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WHO sets no health-based guideline for zinc; the Mo 70 µg/L figure is a health-based value, not a formal guideline.</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Ba 1,300 µg/L vs 1.3 mg/L</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 as a unit clash, not a value error</w:t>
            </w:r>
          </w:p>
        </w:tc>
        <w:tc>
          <w:tcPr>
            <w:tcW w:type="dxa" w:w="3120"/>
          </w:tcPr>
          <w:p>
            <w:pPr>
              <w:spacing w:line="240" w:lineRule="auto" w:after="40"/>
              <w:jc w:val="left"/>
            </w:pPr>
            <w:r>
              <w:rPr>
                <w:rFonts w:ascii="Times New Roman" w:hAnsi="Times New Roman"/>
                <w:sz w:val="18"/>
              </w:rPr>
            </w:r>
            <w:r>
              <w:rPr>
                <w:rFonts w:ascii="Times New Roman" w:hAnsi="Times New Roman"/>
                <w:sz w:val="18"/>
              </w:rPr>
              <w:t>Both equal 1,300 µg/L. Presentation only.</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"Section 1.6"</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Cited in Results line 67 and Discussion line 9; the Introduction has no numbered subsections.</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Abstract vs 3.5 on arsenic</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 xml:space="preserve">AsTot is feasible at </w:t>
            </w:r>
            <w:r>
              <w:rPr>
                <w:rFonts w:ascii="Times New Roman" w:hAnsi="Times New Roman"/>
                <w:b/>
                <w:sz w:val="18"/>
              </w:rPr>
              <w:t>no</w:t>
            </w:r>
            <w:r>
              <w:rPr>
                <w:rFonts w:ascii="Times New Roman" w:hAnsi="Times New Roman"/>
                <w:sz w:val="18"/>
              </w:rPr>
              <w:t xml:space="preserve"> tier under 8 blocks and at four tiers under 16, with fold SD up to 0.79. The fragility is real and unstated.</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T9 As E1</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random R² −0.0702 (infeasible) against 16-block spatial +0.078 (feasible). Spatial beating random is evidence of instability.</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3.6 vs 4.3 coverage "expected"</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Falls with M2.</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2.4 vs T2 n</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 xml:space="preserve">Methods states complete cases 254/254/253/243/229; T2 carries n = 271 (260 for Zn) at every tier, because </w:t>
            </w:r>
            <w:r>
              <w:rPr>
                <w:rFonts w:ascii="Times New Roman" w:hAnsi="Times New Roman"/>
                <w:sz w:val="18"/>
              </w:rPr>
              <w:t>SimpleImputer(strategy="median")</w:t>
            </w:r>
            <w:r>
              <w:rPr>
                <w:rFonts w:ascii="Times New Roman" w:hAnsi="Times New Roman"/>
                <w:sz w:val="18"/>
              </w:rPr>
              <w:t xml:space="preserve"> runs inside the fold. Needs one sentence.</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Novelty wording</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Narrow the claim and add "to our knowledge".</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3.8 "the two that exceed"</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 xml:space="preserve">Three metals exceed: AsTot (156), U (4) and </w:t>
            </w:r>
            <w:r>
              <w:rPr>
                <w:rFonts w:ascii="Times New Roman" w:hAnsi="Times New Roman"/>
                <w:b/>
                <w:sz w:val="18"/>
              </w:rPr>
              <w:t>Pb (1)</w:t>
            </w:r>
            <w:r>
              <w:rPr>
                <w:rFonts w:ascii="Times New Roman" w:hAnsi="Times New Roman"/>
                <w:sz w:val="18"/>
              </w:rPr>
              <w:t>. Qualify the sentence.</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Figure order</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Figure 1, then 3, then 2, then 4, 5, 7, 6, 10, 9, 8, 12, 11.</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Table numbering</w:t>
            </w:r>
          </w:p>
        </w:tc>
        <w:tc>
          <w:tcPr>
            <w:tcW w:type="dxa" w:w="3120"/>
          </w:tcPr>
          <w:p>
            <w:pPr>
              <w:spacing w:line="240" w:lineRule="auto" w:after="40"/>
              <w:jc w:val="left"/>
            </w:pPr>
            <w:r>
              <w:rPr>
                <w:rFonts w:ascii="Times New Roman" w:hAnsi="Times New Roman"/>
                <w:sz w:val="18"/>
              </w:rPr>
            </w:r>
            <w:r>
              <w:rPr>
                <w:rFonts w:ascii="Times New Roman" w:hAnsi="Times New Roman"/>
                <w:b/>
                <w:sz w:val="18"/>
              </w:rPr>
              <w:t>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Table 1, Table 2, then T6, T0, T8, T0b, T1, T2, T9, T5, T3, T4, T12, T7, T14, T11, T13, T10.</w:t>
            </w:r>
          </w:p>
        </w:tc>
      </w:tr>
      <w:tr>
        <w:tc>
          <w:tcPr>
            <w:tcW w:type="dxa" w:w="3120"/>
          </w:tcPr>
          <w:p>
            <w:pPr>
              <w:spacing w:line="240" w:lineRule="auto" w:after="40"/>
              <w:jc w:val="left"/>
            </w:pPr>
            <w:r>
              <w:rPr>
                <w:rFonts w:ascii="Times New Roman" w:hAnsi="Times New Roman"/>
                <w:sz w:val="18"/>
              </w:rPr>
            </w:r>
            <w:r>
              <w:rPr>
                <w:rFonts w:ascii="Times New Roman" w:hAnsi="Times New Roman"/>
                <w:sz w:val="18"/>
              </w:rPr>
              <w:t>Refs 26-28, 43</w:t>
            </w:r>
          </w:p>
        </w:tc>
        <w:tc>
          <w:tcPr>
            <w:tcW w:type="dxa" w:w="3120"/>
          </w:tcPr>
          <w:p>
            <w:pPr>
              <w:spacing w:line="240" w:lineRule="auto" w:after="40"/>
              <w:jc w:val="left"/>
            </w:pPr>
            <w:r>
              <w:rPr>
                <w:rFonts w:ascii="Times New Roman" w:hAnsi="Times New Roman"/>
                <w:sz w:val="18"/>
              </w:rPr>
            </w:r>
            <w:r>
              <w:rPr>
                <w:rFonts w:ascii="Times New Roman" w:hAnsi="Times New Roman"/>
                <w:b/>
                <w:sz w:val="18"/>
              </w:rPr>
              <w:t>Mostly confirmed</w:t>
            </w:r>
          </w:p>
        </w:tc>
        <w:tc>
          <w:tcPr>
            <w:tcW w:type="dxa" w:w="3120"/>
          </w:tcPr>
          <w:p>
            <w:pPr>
              <w:spacing w:line="240" w:lineRule="auto" w:after="40"/>
              <w:jc w:val="left"/>
            </w:pPr>
            <w:r>
              <w:rPr>
                <w:rFonts w:ascii="Times New Roman" w:hAnsi="Times New Roman"/>
                <w:sz w:val="18"/>
              </w:rPr>
            </w:r>
            <w:r>
              <w:rPr>
                <w:rFonts w:ascii="Times New Roman" w:hAnsi="Times New Roman"/>
                <w:sz w:val="18"/>
              </w:rPr>
              <w:t>[27] 46(20) no pages, [28] 488-489 no pages, [43] 688 no pages; none has a DOI. [26] does carry 39(1):299-303 and lacks only the DOI.</w:t>
            </w:r>
          </w:p>
        </w:tc>
      </w:tr>
    </w:tbl>
    <w:p/>
    <w:p>
      <w:pPr>
        <w:pStyle w:val="Heading3"/>
      </w:pPr>
      <w:r>
        <w:t>Minor and presentation points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9D9D9"/>
          </w:tcPr>
          <w:p>
            <w:pPr>
              <w:spacing w:line="240" w:lineRule="auto" w:after="40"/>
              <w:jc w:val="left"/>
            </w:pPr>
            <w:r>
              <w:rPr>
                <w:rFonts w:ascii="Times New Roman" w:hAnsi="Times New Roman"/>
                <w:b/>
                <w:sz w:val="18"/>
              </w:rPr>
            </w:r>
            <w:r>
              <w:rPr>
                <w:rFonts w:ascii="Times New Roman" w:hAnsi="Times New Roman"/>
                <w:b/>
                <w:sz w:val="18"/>
              </w:rPr>
              <w:t>Point</w:t>
            </w:r>
          </w:p>
        </w:tc>
        <w:tc>
          <w:tcPr>
            <w:tcW w:type="dxa" w:w="4680"/>
            <w:shd w:val="clear" w:fill="D9D9D9"/>
          </w:tcPr>
          <w:p>
            <w:pPr>
              <w:spacing w:line="240" w:lineRule="auto" w:after="40"/>
              <w:jc w:val="left"/>
            </w:pPr>
            <w:r>
              <w:rPr>
                <w:rFonts w:ascii="Times New Roman" w:hAnsi="Times New Roman"/>
                <w:b/>
                <w:sz w:val="18"/>
              </w:rPr>
            </w:r>
            <w:r>
              <w:rPr>
                <w:rFonts w:ascii="Times New Roman" w:hAnsi="Times New Roman"/>
                <w:b/>
                <w:sz w:val="18"/>
              </w:rPr>
              <w:t>Verdict</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Abstract length</w:t>
            </w:r>
          </w:p>
        </w:tc>
        <w:tc>
          <w:tcPr>
            <w:tcW w:type="dxa" w:w="4680"/>
          </w:tcPr>
          <w:p>
            <w:pPr>
              <w:spacing w:line="240" w:lineRule="auto" w:after="40"/>
              <w:jc w:val="left"/>
            </w:pPr>
            <w:r>
              <w:rPr>
                <w:rFonts w:ascii="Times New Roman" w:hAnsi="Times New Roman"/>
                <w:sz w:val="18"/>
              </w:rPr>
            </w:r>
            <w:r>
              <w:rPr>
                <w:rFonts w:ascii="Times New Roman" w:hAnsi="Times New Roman"/>
                <w:b/>
                <w:sz w:val="18"/>
              </w:rPr>
              <w:t>Wrong on the number, right on the risk.</w:t>
            </w:r>
            <w:r>
              <w:rPr>
                <w:rFonts w:ascii="Times New Roman" w:hAnsi="Times New Roman"/>
                <w:sz w:val="18"/>
              </w:rPr>
              <w:t xml:space="preserve"> It is </w:t>
            </w:r>
            <w:r>
              <w:rPr>
                <w:rFonts w:ascii="Times New Roman" w:hAnsi="Times New Roman"/>
                <w:b/>
                <w:sz w:val="18"/>
              </w:rPr>
              <w:t>300</w:t>
            </w:r>
            <w:r>
              <w:rPr>
                <w:rFonts w:ascii="Times New Roman" w:hAnsi="Times New Roman"/>
                <w:sz w:val="18"/>
              </w:rPr>
              <w:t xml:space="preserve"> words, not ~290. The 250 cap is journal-specific: STOTEN and Environmental Pollution allow 300, Journal of Hydrology 250. If J. Hydrology is the target, it must be cut.</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Lead with AUC, not R² = −5.58</w:t>
            </w:r>
          </w:p>
        </w:tc>
        <w:tc>
          <w:tcPr>
            <w:tcW w:type="dxa" w:w="4680"/>
          </w:tcPr>
          <w:p>
            <w:pPr>
              <w:spacing w:line="240" w:lineRule="auto" w:after="40"/>
              <w:jc w:val="left"/>
            </w:pPr>
            <w:r>
              <w:rPr>
                <w:rFonts w:ascii="Times New Roman" w:hAnsi="Times New Roman"/>
                <w:sz w:val="18"/>
              </w:rPr>
            </w:r>
            <w:r>
              <w:rPr>
                <w:rFonts w:ascii="Times New Roman" w:hAnsi="Times New Roman"/>
                <w:b/>
                <w:sz w:val="18"/>
              </w:rPr>
              <w:t>Valid.</w:t>
            </w:r>
            <w:r>
              <w:rPr>
                <w:rFonts w:ascii="Times New Roman" w:hAnsi="Times New Roman"/>
                <w:sz w:val="18"/>
              </w:rPr>
              <w:t xml:space="preserve"> Presentational, and a fair warning.</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Soften the cadmium claim (4.1)</w:t>
            </w:r>
          </w:p>
        </w:tc>
        <w:tc>
          <w:tcPr>
            <w:tcW w:type="dxa" w:w="4680"/>
          </w:tcPr>
          <w:p>
            <w:pPr>
              <w:spacing w:line="240" w:lineRule="auto" w:after="40"/>
              <w:jc w:val="left"/>
            </w:pPr>
            <w:r>
              <w:rPr>
                <w:rFonts w:ascii="Times New Roman" w:hAnsi="Times New Roman"/>
                <w:sz w:val="18"/>
              </w:rPr>
            </w:r>
            <w:r>
              <w:rPr>
                <w:rFonts w:ascii="Times New Roman" w:hAnsi="Times New Roman"/>
                <w:b/>
                <w:sz w:val="18"/>
              </w:rPr>
              <w:t>Valid.</w:t>
            </w:r>
            <w:r>
              <w:rPr>
                <w:rFonts w:ascii="Times New Roman" w:hAnsi="Times New Roman"/>
                <w:sz w:val="18"/>
              </w:rPr>
              <w:t xml:space="preserve"> Our Cd DL is 0.02 µg/L in four arsenic-selected districts in 1998-99; "in these wells" is the defensible phrasing.</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Literature review: 7 of 13 from abstract only</w:t>
            </w:r>
          </w:p>
        </w:tc>
        <w:tc>
          <w:tcPr>
            <w:tcW w:type="dxa" w:w="4680"/>
          </w:tcPr>
          <w:p>
            <w:pPr>
              <w:spacing w:line="240" w:lineRule="auto" w:after="40"/>
              <w:jc w:val="left"/>
            </w:pPr>
            <w:r>
              <w:rPr>
                <w:rFonts w:ascii="Times New Roman" w:hAnsi="Times New Roman"/>
                <w:sz w:val="18"/>
              </w:rPr>
            </w:r>
            <w:r>
              <w:rPr>
                <w:rFonts w:ascii="Times New Roman" w:hAnsi="Times New Roman"/>
                <w:b/>
                <w:sz w:val="18"/>
              </w:rPr>
              <w:t>Confirmed exactly.</w:t>
            </w:r>
            <w:r>
              <w:rPr>
                <w:rFonts w:ascii="Times New Roman" w:hAnsi="Times New Roman"/>
                <w:sz w:val="18"/>
              </w:rPr>
              <w:t xml:space="preserve"> Table 1's "Checked against" column reads "Abstract" alone in 7 of the 13 studies; 3 more are abstract plus fragments; only 2 are full text and 1 a preprint. Table 2's "0 of 13" negative counts cannot be supported on that basis.</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Describe original analytical methods and QA/QC</w:t>
            </w:r>
          </w:p>
        </w:tc>
        <w:tc>
          <w:tcPr>
            <w:tcW w:type="dxa" w:w="4680"/>
          </w:tcPr>
          <w:p>
            <w:pPr>
              <w:spacing w:line="240" w:lineRule="auto" w:after="40"/>
              <w:jc w:val="left"/>
            </w:pPr>
            <w:r>
              <w:rPr>
                <w:rFonts w:ascii="Times New Roman" w:hAnsi="Times New Roman"/>
                <w:sz w:val="18"/>
              </w:rPr>
            </w:r>
            <w:r>
              <w:rPr>
                <w:rFonts w:ascii="Times New Roman" w:hAnsi="Times New Roman"/>
                <w:b/>
                <w:sz w:val="18"/>
              </w:rPr>
              <w:t>Valid</w:t>
            </w:r>
            <w:r>
              <w:rPr>
                <w:rFonts w:ascii="Times New Roman" w:hAnsi="Times New Roman"/>
                <w:sz w:val="18"/>
              </w:rPr>
              <w:t>, absent from Methods.</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Co-located wells</w:t>
            </w:r>
          </w:p>
        </w:tc>
        <w:tc>
          <w:tcPr>
            <w:tcW w:type="dxa" w:w="4680"/>
          </w:tcPr>
          <w:p>
            <w:pPr>
              <w:spacing w:line="240" w:lineRule="auto" w:after="40"/>
              <w:jc w:val="left"/>
            </w:pPr>
            <w:r>
              <w:rPr>
                <w:rFonts w:ascii="Times New Roman" w:hAnsi="Times New Roman"/>
                <w:sz w:val="18"/>
              </w:rPr>
            </w:r>
            <w:r>
              <w:rPr>
                <w:rFonts w:ascii="Times New Roman" w:hAnsi="Times New Roman"/>
                <w:b/>
                <w:sz w:val="18"/>
              </w:rPr>
              <w:t>Confirmed.</w:t>
            </w:r>
            <w:r>
              <w:rPr>
                <w:rFonts w:ascii="Times New Roman" w:hAnsi="Times New Roman"/>
                <w:sz w:val="18"/>
              </w:rPr>
              <w:t xml:space="preserve"> 24 wells share exact coordinates across 12 locations, and nothing in the random CV or conformal splits accounts for it.</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Block geometry vs variogram</w:t>
            </w:r>
          </w:p>
        </w:tc>
        <w:tc>
          <w:tcPr>
            <w:tcW w:type="dxa" w:w="4680"/>
          </w:tcPr>
          <w:p>
            <w:pPr>
              <w:spacing w:line="240" w:lineRule="auto" w:after="40"/>
              <w:jc w:val="left"/>
            </w:pPr>
            <w:r>
              <w:rPr>
                <w:rFonts w:ascii="Times New Roman" w:hAnsi="Times New Roman"/>
                <w:sz w:val="18"/>
              </w:rPr>
            </w:r>
            <w:r>
              <w:rPr>
                <w:rFonts w:ascii="Times New Roman" w:hAnsi="Times New Roman"/>
                <w:b/>
                <w:sz w:val="18"/>
              </w:rPr>
              <w:t>Confirmed.</w:t>
            </w:r>
            <w:r>
              <w:rPr>
                <w:rFonts w:ascii="Times New Roman" w:hAnsi="Times New Roman"/>
                <w:sz w:val="18"/>
              </w:rPr>
              <w:t xml:space="preserve"> Methods 2.5.2 reports median block diameters of 18.8 km (8 blocks) and 11.4 km (16 blocks) but never sets them against the variogram ranges.</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Learning curves: report median</w:t>
            </w:r>
          </w:p>
        </w:tc>
        <w:tc>
          <w:tcPr>
            <w:tcW w:type="dxa" w:w="4680"/>
          </w:tcPr>
          <w:p>
            <w:pPr>
              <w:spacing w:line="240" w:lineRule="auto" w:after="40"/>
              <w:jc w:val="left"/>
            </w:pPr>
            <w:r>
              <w:rPr>
                <w:rFonts w:ascii="Times New Roman" w:hAnsi="Times New Roman"/>
                <w:sz w:val="18"/>
              </w:rPr>
            </w:r>
            <w:r>
              <w:rPr>
                <w:rFonts w:ascii="Times New Roman" w:hAnsi="Times New Roman"/>
                <w:b/>
                <w:sz w:val="18"/>
              </w:rPr>
              <w:t>Confirmed and important.</w:t>
            </w:r>
            <w:r>
              <w:rPr>
                <w:rFonts w:ascii="Times New Roman" w:hAnsi="Times New Roman"/>
                <w:sz w:val="18"/>
              </w:rPr>
              <w:t xml:space="preserve"> Mo at n_train 51 has mean R² </w:t>
            </w:r>
            <w:r>
              <w:rPr>
                <w:rFonts w:ascii="Times New Roman" w:hAnsi="Times New Roman"/>
                <w:b/>
                <w:sz w:val="18"/>
              </w:rPr>
              <w:t>−12.44</w:t>
            </w:r>
            <w:r>
              <w:rPr>
                <w:rFonts w:ascii="Times New Roman" w:hAnsi="Times New Roman"/>
                <w:sz w:val="18"/>
              </w:rPr>
              <w:t xml:space="preserve"> (SD 78.5) but median </w:t>
            </w:r>
            <w:r>
              <w:rPr>
                <w:rFonts w:ascii="Times New Roman" w:hAnsi="Times New Roman"/>
                <w:b/>
                <w:sz w:val="18"/>
              </w:rPr>
              <w:t>+0.164</w:t>
            </w:r>
            <w:r>
              <w:rPr>
                <w:rFonts w:ascii="Times New Roman" w:hAnsi="Times New Roman"/>
                <w:sz w:val="18"/>
              </w:rPr>
              <w:t>. The mean is one blown fold.</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Discussion repeats Results</w:t>
            </w:r>
          </w:p>
        </w:tc>
        <w:tc>
          <w:tcPr>
            <w:tcW w:type="dxa" w:w="4680"/>
          </w:tcPr>
          <w:p>
            <w:pPr>
              <w:spacing w:line="240" w:lineRule="auto" w:after="40"/>
              <w:jc w:val="left"/>
            </w:pPr>
            <w:r>
              <w:rPr>
                <w:rFonts w:ascii="Times New Roman" w:hAnsi="Times New Roman"/>
                <w:sz w:val="18"/>
              </w:rPr>
            </w:r>
            <w:r>
              <w:rPr>
                <w:rFonts w:ascii="Times New Roman" w:hAnsi="Times New Roman"/>
                <w:b/>
                <w:sz w:val="18"/>
              </w:rPr>
              <w:t>Valid.</w:t>
            </w:r>
            <w:r>
              <w:rPr>
                <w:rFonts w:ascii="Times New Roman" w:hAnsi="Times New Roman"/>
                <w:sz w:val="18"/>
              </w:rPr>
              <w:t xml:space="preserve"> Sections 4.2 to 4.4 restate Results numbers almost verbatim.</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3.9 geology overlaps the test set</w:t>
            </w:r>
          </w:p>
        </w:tc>
        <w:tc>
          <w:tcPr>
            <w:tcW w:type="dxa" w:w="4680"/>
          </w:tcPr>
          <w:p>
            <w:pPr>
              <w:spacing w:line="240" w:lineRule="auto" w:after="40"/>
              <w:jc w:val="left"/>
            </w:pPr>
            <w:r>
              <w:rPr>
                <w:rFonts w:ascii="Times New Roman" w:hAnsi="Times New Roman"/>
                <w:sz w:val="18"/>
              </w:rPr>
            </w:r>
            <w:r>
              <w:rPr>
                <w:rFonts w:ascii="Times New Roman" w:hAnsi="Times New Roman"/>
                <w:b/>
                <w:sz w:val="18"/>
              </w:rPr>
              <w:t>Confirmed.</w:t>
            </w:r>
            <w:r>
              <w:rPr>
                <w:rFonts w:ascii="Times New Roman" w:hAnsi="Times New Roman"/>
                <w:sz w:val="18"/>
              </w:rPr>
              <w:t xml:space="preserve"> T14 sums to </w:t>
            </w:r>
            <w:r>
              <w:rPr>
                <w:rFonts w:ascii="Times New Roman" w:hAnsi="Times New Roman"/>
                <w:b/>
                <w:sz w:val="18"/>
              </w:rPr>
              <w:t>3,465</w:t>
            </w:r>
            <w:r>
              <w:rPr>
                <w:rFonts w:ascii="Times New Roman" w:hAnsi="Times New Roman"/>
                <w:sz w:val="18"/>
              </w:rPr>
              <w:t xml:space="preserve"> national wells, which include the 1,027 external wells.</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Fe-As decoupling needs the established explanation</w:t>
            </w:r>
          </w:p>
        </w:tc>
        <w:tc>
          <w:tcPr>
            <w:tcW w:type="dxa" w:w="4680"/>
          </w:tcPr>
          <w:p>
            <w:pPr>
              <w:spacing w:line="240" w:lineRule="auto" w:after="40"/>
              <w:jc w:val="left"/>
            </w:pPr>
            <w:r>
              <w:rPr>
                <w:rFonts w:ascii="Times New Roman" w:hAnsi="Times New Roman"/>
                <w:sz w:val="18"/>
              </w:rPr>
            </w:r>
            <w:r>
              <w:rPr>
                <w:rFonts w:ascii="Times New Roman" w:hAnsi="Times New Roman"/>
                <w:b/>
                <w:sz w:val="18"/>
              </w:rPr>
              <w:t>Valid.</w:t>
            </w:r>
            <w:r>
              <w:rPr>
                <w:rFonts w:ascii="Times New Roman" w:hAnsi="Times New Roman"/>
                <w:sz w:val="18"/>
              </w:rPr>
              <w:t xml:space="preserve"> Currently reported, not explained.</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Tables are raw pipeline dumps</w:t>
            </w:r>
          </w:p>
        </w:tc>
        <w:tc>
          <w:tcPr>
            <w:tcW w:type="dxa" w:w="4680"/>
          </w:tcPr>
          <w:p>
            <w:pPr>
              <w:spacing w:line="240" w:lineRule="auto" w:after="40"/>
              <w:jc w:val="left"/>
            </w:pPr>
            <w:r>
              <w:rPr>
                <w:rFonts w:ascii="Times New Roman" w:hAnsi="Times New Roman"/>
                <w:sz w:val="18"/>
              </w:rPr>
            </w:r>
            <w:r>
              <w:rPr>
                <w:rFonts w:ascii="Times New Roman" w:hAnsi="Times New Roman"/>
                <w:b/>
                <w:sz w:val="18"/>
              </w:rPr>
              <w:t>Valid.</w:t>
            </w:r>
            <w:r>
              <w:rPr>
                <w:rFonts w:ascii="Times New Roman" w:hAnsi="Times New Roman"/>
                <w:sz w:val="18"/>
              </w:rPr>
              <w:t xml:space="preserve"> snake_case headers, Booleans, 4 to 6 decimals.</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Figures 4 and 5 lack uncertainty</w:t>
            </w:r>
          </w:p>
        </w:tc>
        <w:tc>
          <w:tcPr>
            <w:tcW w:type="dxa" w:w="4680"/>
          </w:tcPr>
          <w:p>
            <w:pPr>
              <w:spacing w:line="240" w:lineRule="auto" w:after="40"/>
              <w:jc w:val="left"/>
            </w:pPr>
            <w:r>
              <w:rPr>
                <w:rFonts w:ascii="Times New Roman" w:hAnsi="Times New Roman"/>
                <w:sz w:val="18"/>
              </w:rPr>
            </w:r>
            <w:r>
              <w:rPr>
                <w:rFonts w:ascii="Times New Roman" w:hAnsi="Times New Roman"/>
                <w:b/>
                <w:sz w:val="18"/>
              </w:rPr>
              <w:t>Valid.</w:t>
            </w:r>
            <w:r>
              <w:rPr>
                <w:rFonts w:ascii="Times New Roman" w:hAnsi="Times New Roman"/>
                <w:sz w:val="18"/>
              </w:rPr>
              <w:t xml:space="preserve"> Fold SD exists in T2 and T9 and is not plotted.</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Data availability, CRediT, funding, competing interests</w:t>
            </w:r>
          </w:p>
        </w:tc>
        <w:tc>
          <w:tcPr>
            <w:tcW w:type="dxa" w:w="4680"/>
          </w:tcPr>
          <w:p>
            <w:pPr>
              <w:spacing w:line="240" w:lineRule="auto" w:after="40"/>
              <w:jc w:val="left"/>
            </w:pPr>
            <w:r>
              <w:rPr>
                <w:rFonts w:ascii="Times New Roman" w:hAnsi="Times New Roman"/>
                <w:sz w:val="18"/>
              </w:rPr>
            </w:r>
            <w:r>
              <w:rPr>
                <w:rFonts w:ascii="Times New Roman" w:hAnsi="Times New Roman"/>
                <w:b/>
                <w:sz w:val="18"/>
              </w:rPr>
              <w:t>Valid</w:t>
            </w:r>
            <w:r>
              <w:rPr>
                <w:rFonts w:ascii="Times New Roman" w:hAnsi="Times New Roman"/>
                <w:sz w:val="18"/>
              </w:rPr>
              <w:t>, all absent.</w:t>
            </w:r>
          </w:p>
        </w:tc>
      </w:tr>
      <w:tr>
        <w:tc>
          <w:tcPr>
            <w:tcW w:type="dxa" w:w="4680"/>
          </w:tcPr>
          <w:p>
            <w:pPr>
              <w:spacing w:line="240" w:lineRule="auto" w:after="40"/>
              <w:jc w:val="left"/>
            </w:pPr>
            <w:r>
              <w:rPr>
                <w:rFonts w:ascii="Times New Roman" w:hAnsi="Times New Roman"/>
                <w:sz w:val="18"/>
              </w:rPr>
            </w:r>
            <w:r>
              <w:rPr>
                <w:rFonts w:ascii="Times New Roman" w:hAnsi="Times New Roman"/>
                <w:sz w:val="18"/>
              </w:rPr>
              <w:t>Zenodo DOI and repository name</w:t>
            </w:r>
          </w:p>
        </w:tc>
        <w:tc>
          <w:tcPr>
            <w:tcW w:type="dxa" w:w="4680"/>
          </w:tcPr>
          <w:p>
            <w:pPr>
              <w:spacing w:line="240" w:lineRule="auto" w:after="40"/>
              <w:jc w:val="left"/>
            </w:pPr>
            <w:r>
              <w:rPr>
                <w:rFonts w:ascii="Times New Roman" w:hAnsi="Times New Roman"/>
                <w:sz w:val="18"/>
              </w:rPr>
            </w:r>
            <w:r>
              <w:rPr>
                <w:rFonts w:ascii="Times New Roman" w:hAnsi="Times New Roman"/>
                <w:b/>
                <w:sz w:val="18"/>
              </w:rPr>
              <w:t>Valid.</w:t>
            </w:r>
            <w:r>
              <w:rPr>
                <w:rFonts w:ascii="Times New Roman" w:hAnsi="Times New Roman"/>
                <w:sz w:val="18"/>
              </w:rPr>
              <w:t xml:space="preserve"> </w:t>
            </w:r>
            <w:r>
              <w:rPr>
                <w:rFonts w:ascii="Times New Roman" w:hAnsi="Times New Roman"/>
                <w:sz w:val="18"/>
              </w:rPr>
              <w:t>ground-water-</w:t>
            </w:r>
            <w:r>
              <w:rPr>
                <w:rFonts w:ascii="Times New Roman" w:hAnsi="Times New Roman"/>
                <w:sz w:val="18"/>
              </w:rPr>
              <w:t xml:space="preserve"> is the current name.</w:t>
            </w:r>
          </w:p>
        </w:tc>
      </w:tr>
    </w:tbl>
    <w:p/>
    <w:p>
      <w:pPr>
        <w:pStyle w:val="Heading3"/>
      </w:pPr>
      <w:r>
        <w:t>Strengths and summary claims</w:t>
      </w:r>
    </w:p>
    <w:p>
      <w:r>
        <w:t>The eight strengths are all accurate. Two notes on the editor's summary:</w:t>
      </w:r>
    </w:p>
    <w:p>
      <w:r>
        <w:t>- "a censoring comparison that changes the ground truth between arms" and the other four named flaws are all confirmed above. - "mislabel ~65 wells as nitrate-reducing" understates it slightly: 63 of the 65 fail the full criteria, and 40 are there by censoring artefact alone.</w:t>
      </w:r>
    </w:p>
    <w:p>
      <w:pPr>
        <w:pStyle w:val="Heading2"/>
      </w:pPr>
      <w:r>
        <w:t>3. Corrections to make to the review itself</w:t>
      </w:r>
    </w:p>
    <w:p>
      <w:r>
        <w:t>Four items where the review should be amended before you work from it:</w:t>
      </w:r>
    </w:p>
    <w:p>
      <w:r>
        <w:t xml:space="preserve">1. </w:t>
      </w:r>
      <w:r>
        <w:rPr>
          <w:b/>
        </w:rPr>
        <w:t>M2</w:t>
      </w:r>
      <w:r>
        <w:t xml:space="preserve">: delete "or truncating predictions at zero after computing the interval". Clipping the lower bound at zero cannot reduce coverage for a non-negative target. The quantile is the sole cause. 2. </w:t>
      </w:r>
      <w:r>
        <w:rPr>
          <w:b/>
        </w:rPr>
        <w:t>M9</w:t>
      </w:r>
      <w:r>
        <w:t xml:space="preserve">: delete "or on training data". Importance is already computed on held-out folds. Replace with: importance is computed on the log scale while feasibility R² is reported on the original scale. 3. </w:t>
      </w:r>
      <w:r>
        <w:rPr>
          <w:b/>
        </w:rPr>
        <w:t>Abstract length</w:t>
      </w:r>
      <w:r>
        <w:t xml:space="preserve">: 300 words, not ~290; and the 250-word cap applies to Journal of Hydrology, not to STOTEN or Environmental Pollution. 4. </w:t>
      </w:r>
      <w:r>
        <w:rPr>
          <w:b/>
        </w:rPr>
        <w:t>G9</w:t>
      </w:r>
      <w:r>
        <w:t xml:space="preserve">: the p = 1.000 the reviewer refers to is not in </w:t>
      </w:r>
      <w:r>
        <w:rPr>
          <w:rFonts w:ascii="Courier New" w:hAnsi="Courier New"/>
          <w:sz w:val="22"/>
        </w:rPr>
        <w:t>04_results/metrics/35_geochem.json</w:t>
      </w:r>
      <w:r>
        <w:t>. Either they are reading a different artefact or it has since changed. Worth one clarifying question.</w:t>
      </w:r>
    </w:p>
    <w:p>
      <w:pPr>
        <w:pStyle w:val="Heading2"/>
      </w:pPr>
      <w:r>
        <w:t>4. What I would do, in order</w:t>
      </w:r>
    </w:p>
    <w:p>
      <w:r>
        <w:t xml:space="preserve">The reviewer's ordering is sound. One change: </w:t>
      </w:r>
      <w:r>
        <w:rPr>
          <w:b/>
        </w:rPr>
        <w:t>G2 belongs first</w:t>
      </w:r>
      <w:r>
        <w:t>, not third. It is a two-line fix with a large blast radius, and leaving it until after the conformal and threshold work means rewriting the mechanism sections twice.</w:t>
      </w:r>
    </w:p>
    <w:p>
      <w:r>
        <w:t xml:space="preserve">1. </w:t>
      </w:r>
      <w:r>
        <w:rPr>
          <w:b/>
        </w:rPr>
        <w:t>G2</w:t>
      </w:r>
      <w:r>
        <w:t xml:space="preserve"> — add a censoring guard to </w:t>
      </w:r>
      <w:r>
        <w:rPr>
          <w:rFonts w:ascii="Courier New" w:hAnsi="Courier New"/>
          <w:sz w:val="22"/>
        </w:rPr>
        <w:t>classify_redox</w:t>
      </w:r>
      <w:r>
        <w:t xml:space="preserve">, require the full McMahon and Chapelle criteria, add </w:t>
      </w:r>
      <w:r>
        <w:rPr>
          <w:rFonts w:ascii="Courier New" w:hAnsi="Courier New"/>
          <w:sz w:val="22"/>
        </w:rPr>
        <w:t>mixed</w:t>
      </w:r>
      <w:r>
        <w:t xml:space="preserve"> and </w:t>
      </w:r>
      <w:r>
        <w:rPr>
          <w:rFonts w:ascii="Courier New" w:hAnsi="Courier New"/>
          <w:sz w:val="22"/>
        </w:rPr>
        <w:t>indeterminate</w:t>
      </w:r>
      <w:r>
        <w:t xml:space="preserve"> classes. Rerun 35, 38, 43; rewrite 3.8 and 4.4. 2. </w:t>
      </w:r>
      <w:r>
        <w:rPr>
          <w:b/>
        </w:rPr>
        <w:t>M2</w:t>
      </w:r>
      <w:r>
        <w:t xml:space="preserve"> — finite-sample quantile. Rerun 32 and 34; delete the "expected" sentence in 3.6 and the matching line in 4.3. 3. </w:t>
      </w:r>
      <w:r>
        <w:rPr>
          <w:b/>
        </w:rPr>
        <w:t>M1</w:t>
      </w:r>
      <w:r>
        <w:t xml:space="preserve"> — freeze thresholds on development out-of-fold predictions, add bootstrap CIs. Rerun 37; rewrite 3.12 and 4.5. The abstract's "63 of 64 at 55 %" will move. 4. </w:t>
      </w:r>
      <w:r>
        <w:rPr>
          <w:b/>
        </w:rPr>
        <w:t>M5, M6</w:t>
      </w:r>
      <w:r>
        <w:t xml:space="preserve"> — log-scale metrics, Duan smearing, unify targets to µg/L. Touches almost every number in Results. 5. </w:t>
      </w:r>
      <w:r>
        <w:rPr>
          <w:b/>
        </w:rPr>
        <w:t>M7</w:t>
      </w:r>
      <w:r>
        <w:t xml:space="preserve"> — common reference truth, rename ROS, add a Tobit or AFT arm. 6. </w:t>
      </w:r>
      <w:r>
        <w:rPr>
          <w:b/>
        </w:rPr>
        <w:t>M10, G8</w:t>
      </w:r>
      <w:r>
        <w:t xml:space="preserve"> — depth-only and Fe-only AUC, stratified by geology. 7. </w:t>
      </w:r>
      <w:r>
        <w:rPr>
          <w:b/>
        </w:rPr>
        <w:t>G1, G4, G5</w:t>
      </w:r>
      <w:r>
        <w:t xml:space="preserve"> — the framing rewrites, once the numbers have settled. 8. The seventeen inconsistencies, which are mechanical.</w:t>
      </w:r>
    </w:p>
    <w:p>
      <w:r>
        <w:t>Items 1 to 3 can change headline numbers in the abstract, so the abstract should be rewritten last, not now.</w:t>
      </w:r>
    </w:p>
    <w:p>
      <w:pPr>
        <w:pStyle w:val="Heading2"/>
      </w:pPr>
      <w:r>
        <w:t>5. One thing the review does not say</w:t>
      </w:r>
    </w:p>
    <w:p>
      <w:r>
        <w:t>The paper's central claim is that detection limits, not geochemistry, bound what can be screened. G2 shows the same failure mode operating undetected inside our own redox classification, and M7 shows a censoring comparison whose arms are not comparable. Fixing both and saying so plainly would strengthen the paper rather than weaken it: it is direct evidence for the thesis, found in our own pipeline. That is a better answer to G1 than a defensive rewrite.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