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pPr/>
      <w:r>
        <w:t xml:space="preserve">Groundwater supplies most drinking water across rural Bangladesh and West Bengal, and its trace metal content remains a persistent public health concern [1,2]. Arsenic is the best characterised of these metals. Concentrations exceeding the World Health Organization guideline of 10 µg L⁻¹ occur across large parts of Bangladesh and West Bengal, and the exposed population is counted in tens of millions [1–3]. Other trace metals including cadmium, nickel, lead, uranium and molybdenum are reported far less consistently. Regional assessments conducted across the Bengal Basin and comparable alluvial and deltaic settings reach divergent conclusions as to whether these metals approach drinking water standards. </w:t>
      </w:r>
      <w:commentRangeStart w:id="0"/>
      <w:r>
        <w:t>Cadmium has been reported well above permissible limits on the southeastern coast of Bangladesh [4] and identified as a principal contributor to health risk in another regional assessment [5]</w:t>
      </w:r>
      <w:commentRangeEnd w:id="0"/>
      <w:r>
        <w:rPr>
          <w:rStyle w:val="CommentReference"/>
        </w:rPr>
        <w:commentReference w:id="0"/>
      </w:r>
      <w:r>
        <w:t>, while other investigations in comparable settings report it at or below detection [6,7]. Comparable inconsistency attends lead, chromium and nickel [8–10]. The question of which trace metals constitute a genuine hazard in a given aquifer therefore remains, for metals other than arsenic, partly unsettled.</w:t>
      </w:r>
    </w:p>
    <w:p>
      <w:pPr/>
      <w:r>
        <w:t>The geochemical mechanism that governs arsenic is well established. Arsenic is released into solution by reductive dissolution of iron oxyhydroxides, a process driven by microbial oxidation of sedimentary organic matter, so that dissolved arsenic rises together with dissolved iron and bicarbonate in reducing aquifers [11–14]. Arsenic concentration therefore depends strongly on redox condition, and classification frameworks built on dissolved oxygen, nitrate, manganese, iron and sulfate have become standard tools for describing that dependence [15,16]. Whether comparable geochemical controls render other trace metals similarly inferable has not been examined systematically.</w:t>
      </w:r>
    </w:p>
    <w:p>
      <w:pPr/>
      <w:r>
        <w:t xml:space="preserve">Quantifying trace metals at regulatory concentrations requires inductively coupled plasma methods or atomic absorption spectrophotometry, with ion chromatography or titration for the major ions. </w:t>
      </w:r>
      <w:commentRangeStart w:id="1"/>
      <w:r>
        <w:t>A survey of sixteen recent assessments of groundwater quality across the Bengal Basin and comparable settings elsewhere in South Asia and in the Pearl River Delta finds this to be the universal practice [4–10,17–25]</w:t>
      </w:r>
      <w:commentRangeEnd w:id="1"/>
      <w:r>
        <w:rPr>
          <w:rStyle w:val="CommentReference"/>
        </w:rPr>
        <w:commentReference w:id="1"/>
      </w:r>
      <w:r>
        <w:t>. Each determines its metals in the laboratory, generally alongside a complete major ion panel, and the field instrumentation appearing in these studies is confined to pH, electrical conductivity and total dissolved solids, which are reported as descriptive variables rather than used to infer anything further. Analysis is accordingly descriptive and index based, drawing on water quality indices, heavy metal pollution indices, principal component analysis and health risk quotients. None of the sixteen builds a predictive model from measured water parameters; where spatial prediction appears, it is interpolation of the measured concentrations themselves. Laboratory determination is accurate, but the expense constrains both how many wells a monitoring programme can cover and how often it can revisit them.</w:t>
      </w:r>
    </w:p>
    <w:p>
      <w:pPr/>
      <w:r>
        <w:t>Arsenic constitutes a partial and instructive exception. Colorimetric field kits for arsenic cost approximately USD 0.17 per test at bulk procurement and perform creditably against laboratory determinations, correctly classifying 88 % of 799 wells in one evaluation, with errors concentrated in the 50 to 100 µg L⁻¹ range [26,27]. Blanket kit testing nonetheless represents a recurring rather than a one time expense, because new tubewells continue to be installed and must subsequently be tested [28]. Two implications follow. First, inexpensive field determination is demonstrably valuable, so the question is not whether low cost screening is worth pursuing. Second, the arsenic kit is analyte specific. No equivalent exists for cadmium, nickel, lead, uranium or molybdenum, and a separate consumable would be required for each. A surrogate approach is attractive precisely because a single set of field measurements might inform several metals simultaneously, provided that such inference is in fact possible. Establishing whether it is constitutes the aim of the present study.</w:t>
      </w:r>
    </w:p>
    <w:p>
      <w:pPr/>
      <w:r>
        <w:t>Machine learning has become routine in groundwater arsenic research. Predictive models have been constructed at global [3], national [29–32] and district scales [33,34], and geomorphological descriptors such as abandoned river channels have been proposed to improve hotspot identification [35]. Most of these studies share a common structure. They predict a single metal, usually the probability that arsenic exceeds a guideline value, from geospatial covariates such as climate, soil properties, geology, elevation and well depth, and their output is a hazard map indicating where testing should be prioritised. The principal exception is instructive. Tan et al. [30] added laboratory hydrochemistry to 90 geo-environmental predictors for Bangladesh and found phosphorus and iron to be among the most important variables at every spatial scale, which is consistent with the reductive dissolution mechanism, but the added inputs are themselves laboratory determinations.</w:t>
      </w:r>
    </w:p>
    <w:p>
      <w:pPr/>
      <w:r>
        <w:t>That objective differs from the one pursued here. A hazard map conveys nothing about the particular well in front of a field team on the basis of measurements obtainable at that well, because its predictors are not quantities a technician measures but layers attached to a location. Earlier geostatistical treatments share this limitation, and spatial interpolation has been shown to underestimate arsenic systematically at unsampled locations [36], an outcome consistent with the observation that arsenic varies over tens to hundreds of metres in response to the thickness of overlying fine grained sediments [37,38]. Prediction of trace metals from water chemistry itself has also been proposed, generally using major ions or electrical conductivity as inputs [39–42]. This body of work typically addresses one to three targets, evaluates on random partitions, and, significantly for any argument about cost, relies on inputs that are themselves laboratory determinations. A complete major ion panel does not constitute a low cost measurement.</w:t>
      </w:r>
    </w:p>
    <w:p>
      <w:pPr/>
      <w:r>
        <w:t xml:space="preserve">A second limitation concerns uncertainty. Groundwater machine learning studies commonly report point predictions or class probabilities, an omission noted from within the field itself [43]. Where intervals are reported they are quantile, bootstrap or Bayesian constructions lacking a finite sample coverage guarantee [32,43,44], dispersion of ensemble votes [33], or confidence statements attached to population totals rather than to individual wells [31]. Conformal prediction offers a principled alternative, furnishing distribution free intervals with finite sample marginal coverage that wrap any underlying model [45–48]. </w:t>
      </w:r>
      <w:commentRangeStart w:id="2"/>
      <w:r>
        <w:t>We are not aware of its application to the prediction of trace metal concentrations in groundwater.</w:t>
      </w:r>
      <w:commentRangeEnd w:id="2"/>
      <w:r>
        <w:rPr>
          <w:rStyle w:val="CommentReference"/>
        </w:rPr>
        <w:commentReference w:id="2"/>
      </w:r>
      <w:r>
        <w:t xml:space="preserve"> The guarantee it provides is conditional on exchangeability, an assumption that spatial data violate. Recent theoretical work quantifies the coverage loss incurred when exchangeability fails [49], restores validity under covariate shift through likelihood ratio reweighting [50], and argues that spatial data are at best locally exchangeable [51,52]. How far a conformal guarantee survives transfer to an unseen district remains, to our knowledge, unmeasured in this setting.</w:t>
      </w:r>
    </w:p>
    <w:p>
      <w:pPr/>
      <w:r>
        <w:t>Two further practices distort results in ways that are easily overlooked. The first concerns censoring. Trace metal datasets are left censored, since values falling below the analytical detection limit are reported only as being below that limit. Substitution of half the detection limit remains a common default, notwithstanding long standing evidence that it biases estimates and can manufacture structure absent from the data [53–55] and notwithstanding guidance discouraging the practice above modest censoring rates [56]. Established alternatives exist. Regression on order statistics accommodates multiple detection limits [57], censored regression dates to Tobin [58], and these approaches have been compared against uncensored ground truth [59]. In predictive groundwater work the more common response is to avoid the problem by converting concentrations into exceedance classes. Several of the arsenic models above binarise at a guideline value, in some cases explicitly because a large share of measurements fell below reporting limits or because analytical precision differed among data sources [3,32,33]. This is defensible for hazard mapping, but it discards the concentration information that screening an individual well requires, and it offers no route for metals whose measured values mostly lie below the detection limit. The second practice concerns validation. Random cross validation is optimistic when samples exhibit spatial dependence, and blocked designs constitute the standard correction [60,61]. The magnitude of the effect is not trivial, since random folds have been shown to conceal near zero predictive skill in ecological applications [62]. Models should additionally be assessed for whether a new sample falls within the feature space on which they were trained [63].</w:t>
      </w:r>
    </w:p>
    <w:p>
      <w:pPr/>
      <w:commentRangeStart w:id="3"/>
      <w:r>
        <w:rPr>
          <w:b/>
        </w:rPr>
        <w:t>Table 1.</w:t>
      </w:r>
      <w:r>
        <w:t xml:space="preserve"> Predictive studies of trace metals in groundwater, characterised by target, predictor class, validation design, the form in which uncertainty was reported, and the treatment given to values below the detection limit. Studies were identified through a targeted, non-exhaustive search. Each entry was checked against the source listed in the final column; n.r. means not reported in that source. The final row describes the present study.</w:t>
      </w:r>
      <w:commentRangeEnd w:id="3"/>
      <w:r>
        <w:rPr>
          <w:rStyle w:val="CommentReference"/>
        </w:rPr>
        <w:commentReference w:id="3"/>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after="0" w:before="0"/>
              <w:ind w:firstLine="0"/>
              <w:jc w:val="left"/>
            </w:pPr>
            <w:r/>
            <w:r>
              <w:rPr>
                <w:b/>
                <w:sz w:val="16"/>
              </w:rPr>
              <w:t>Study</w:t>
            </w:r>
          </w:p>
        </w:tc>
        <w:tc>
          <w:tcPr>
            <w:tcW w:type="dxa" w:w="1170"/>
          </w:tcPr>
          <w:p>
            <w:pPr>
              <w:spacing w:line="240" w:lineRule="auto" w:after="0" w:before="0"/>
              <w:ind w:firstLine="0"/>
              <w:jc w:val="left"/>
            </w:pPr>
            <w:r/>
            <w:r>
              <w:rPr>
                <w:b/>
                <w:sz w:val="16"/>
              </w:rPr>
              <w:t>Region</w:t>
            </w:r>
          </w:p>
        </w:tc>
        <w:tc>
          <w:tcPr>
            <w:tcW w:type="dxa" w:w="1170"/>
          </w:tcPr>
          <w:p>
            <w:pPr>
              <w:spacing w:line="240" w:lineRule="auto" w:after="0" w:before="0"/>
              <w:ind w:firstLine="0"/>
              <w:jc w:val="left"/>
            </w:pPr>
            <w:r/>
            <w:r>
              <w:rPr>
                <w:b/>
                <w:sz w:val="16"/>
              </w:rPr>
              <w:t>Target</w:t>
            </w:r>
          </w:p>
        </w:tc>
        <w:tc>
          <w:tcPr>
            <w:tcW w:type="dxa" w:w="1170"/>
          </w:tcPr>
          <w:p>
            <w:pPr>
              <w:spacing w:line="240" w:lineRule="auto" w:after="0" w:before="0"/>
              <w:ind w:firstLine="0"/>
              <w:jc w:val="left"/>
            </w:pPr>
            <w:r/>
            <w:r>
              <w:rPr>
                <w:b/>
                <w:sz w:val="16"/>
              </w:rPr>
              <w:t>Predictors</w:t>
            </w:r>
          </w:p>
        </w:tc>
        <w:tc>
          <w:tcPr>
            <w:tcW w:type="dxa" w:w="1170"/>
          </w:tcPr>
          <w:p>
            <w:pPr>
              <w:spacing w:line="240" w:lineRule="auto" w:after="0" w:before="0"/>
              <w:ind w:firstLine="0"/>
              <w:jc w:val="left"/>
            </w:pPr>
            <w:r/>
            <w:r>
              <w:rPr>
                <w:b/>
                <w:sz w:val="16"/>
              </w:rPr>
              <w:t>Validation</w:t>
            </w:r>
          </w:p>
        </w:tc>
        <w:tc>
          <w:tcPr>
            <w:tcW w:type="dxa" w:w="1170"/>
          </w:tcPr>
          <w:p>
            <w:pPr>
              <w:spacing w:line="240" w:lineRule="auto" w:after="0" w:before="0"/>
              <w:ind w:firstLine="0"/>
              <w:jc w:val="left"/>
            </w:pPr>
            <w:r/>
            <w:r>
              <w:rPr>
                <w:b/>
                <w:sz w:val="16"/>
              </w:rPr>
              <w:t>Uncertainty</w:t>
            </w:r>
          </w:p>
        </w:tc>
        <w:tc>
          <w:tcPr>
            <w:tcW w:type="dxa" w:w="1170"/>
          </w:tcPr>
          <w:p>
            <w:pPr>
              <w:spacing w:line="240" w:lineRule="auto" w:after="0" w:before="0"/>
              <w:ind w:firstLine="0"/>
              <w:jc w:val="left"/>
            </w:pPr>
            <w:r/>
            <w:r>
              <w:rPr>
                <w:b/>
                <w:sz w:val="16"/>
              </w:rPr>
              <w:t>Below-DL treatment</w:t>
            </w:r>
          </w:p>
        </w:tc>
        <w:tc>
          <w:tcPr>
            <w:tcW w:type="dxa" w:w="1170"/>
          </w:tcPr>
          <w:p>
            <w:pPr>
              <w:spacing w:line="240" w:lineRule="auto" w:after="0" w:before="0"/>
              <w:ind w:firstLine="0"/>
              <w:jc w:val="left"/>
            </w:pPr>
            <w:r/>
            <w:r>
              <w:rPr>
                <w:b/>
                <w:sz w:val="16"/>
              </w:rPr>
              <w:t>Checked against</w:t>
            </w:r>
          </w:p>
        </w:tc>
      </w:tr>
      <w:tr>
        <w:tc>
          <w:tcPr>
            <w:tcW w:type="dxa" w:w="1170"/>
          </w:tcPr>
          <w:p>
            <w:pPr>
              <w:spacing w:line="240" w:lineRule="auto" w:after="0" w:before="0"/>
              <w:ind w:firstLine="0"/>
              <w:jc w:val="left"/>
            </w:pPr>
            <w:r/>
            <w:r>
              <w:rPr>
                <w:b w:val="0"/>
                <w:sz w:val="16"/>
              </w:rPr>
              <w:t>Podgorski and Berg (2020) [3]</w:t>
            </w:r>
          </w:p>
        </w:tc>
        <w:tc>
          <w:tcPr>
            <w:tcW w:type="dxa" w:w="1170"/>
          </w:tcPr>
          <w:p>
            <w:pPr>
              <w:spacing w:line="240" w:lineRule="auto" w:after="0" w:before="0"/>
              <w:ind w:firstLine="0"/>
              <w:jc w:val="left"/>
            </w:pPr>
            <w:r/>
            <w:r>
              <w:rPr>
                <w:b w:val="0"/>
                <w:sz w:val="16"/>
              </w:rPr>
              <w:t>Global</w:t>
            </w:r>
          </w:p>
        </w:tc>
        <w:tc>
          <w:tcPr>
            <w:tcW w:type="dxa" w:w="1170"/>
          </w:tcPr>
          <w:p>
            <w:pPr>
              <w:spacing w:line="240" w:lineRule="auto" w:after="0" w:before="0"/>
              <w:ind w:firstLine="0"/>
              <w:jc w:val="left"/>
            </w:pPr>
            <w:r/>
            <w:r>
              <w:rPr>
                <w:b w:val="0"/>
                <w:sz w:val="16"/>
              </w:rPr>
              <w:t>P(As &gt; 10 µg/L)</w:t>
            </w:r>
          </w:p>
        </w:tc>
        <w:tc>
          <w:tcPr>
            <w:tcW w:type="dxa" w:w="1170"/>
          </w:tcPr>
          <w:p>
            <w:pPr>
              <w:spacing w:line="240" w:lineRule="auto" w:after="0" w:before="0"/>
              <w:ind w:firstLine="0"/>
              <w:jc w:val="left"/>
            </w:pPr>
            <w:r/>
            <w:r>
              <w:rPr>
                <w:b w:val="0"/>
                <w:sz w:val="16"/>
              </w:rPr>
              <w:t>Geospatial</w:t>
            </w:r>
          </w:p>
        </w:tc>
        <w:tc>
          <w:tcPr>
            <w:tcW w:type="dxa" w:w="1170"/>
          </w:tcPr>
          <w:p>
            <w:pPr>
              <w:spacing w:line="240" w:lineRule="auto" w:after="0" w:before="0"/>
              <w:ind w:firstLine="0"/>
              <w:jc w:val="left"/>
            </w:pPr>
            <w:r/>
            <w:r>
              <w:rPr>
                <w:b w:val="0"/>
                <w:sz w:val="16"/>
              </w:rPr>
              <w:t>Stratified random 80/20 holdout; deep-well (&gt;100 m) test set</w:t>
            </w:r>
          </w:p>
        </w:tc>
        <w:tc>
          <w:tcPr>
            <w:tcW w:type="dxa" w:w="1170"/>
          </w:tcPr>
          <w:p>
            <w:pPr>
              <w:spacing w:line="240" w:lineRule="auto" w:after="0" w:before="0"/>
              <w:ind w:firstLine="0"/>
              <w:jc w:val="left"/>
            </w:pPr>
            <w:r/>
            <w:r>
              <w:rPr>
                <w:b w:val="0"/>
                <w:sz w:val="16"/>
              </w:rPr>
              <w:t>Class probability</w:t>
            </w:r>
          </w:p>
        </w:tc>
        <w:tc>
          <w:tcPr>
            <w:tcW w:type="dxa" w:w="1170"/>
          </w:tcPr>
          <w:p>
            <w:pPr>
              <w:spacing w:line="240" w:lineRule="auto" w:after="0" w:before="0"/>
              <w:ind w:firstLine="0"/>
              <w:jc w:val="left"/>
            </w:pPr>
            <w:r/>
            <w:r>
              <w:rPr>
                <w:b w:val="0"/>
                <w:sz w:val="16"/>
              </w:rPr>
              <w:t>Binarised; stated reason: unequal analytical precision</w:t>
            </w:r>
          </w:p>
        </w:tc>
        <w:tc>
          <w:tcPr>
            <w:tcW w:type="dxa" w:w="1170"/>
          </w:tcPr>
          <w:p>
            <w:pPr>
              <w:spacing w:line="240" w:lineRule="auto" w:after="0" w:before="0"/>
              <w:ind w:firstLine="0"/>
              <w:jc w:val="left"/>
            </w:pPr>
            <w:r/>
            <w:r>
              <w:rPr>
                <w:b w:val="0"/>
                <w:sz w:val="16"/>
              </w:rPr>
              <w:t>Full text</w:t>
            </w:r>
          </w:p>
        </w:tc>
      </w:tr>
      <w:tr>
        <w:tc>
          <w:tcPr>
            <w:tcW w:type="dxa" w:w="1170"/>
          </w:tcPr>
          <w:p>
            <w:pPr>
              <w:spacing w:line="240" w:lineRule="auto" w:after="0" w:before="0"/>
              <w:ind w:firstLine="0"/>
              <w:jc w:val="left"/>
            </w:pPr>
            <w:r/>
            <w:r>
              <w:rPr>
                <w:b w:val="0"/>
                <w:sz w:val="16"/>
              </w:rPr>
              <w:t>Podgorski et al. (2020) [29]</w:t>
            </w:r>
          </w:p>
        </w:tc>
        <w:tc>
          <w:tcPr>
            <w:tcW w:type="dxa" w:w="1170"/>
          </w:tcPr>
          <w:p>
            <w:pPr>
              <w:spacing w:line="240" w:lineRule="auto" w:after="0" w:before="0"/>
              <w:ind w:firstLine="0"/>
              <w:jc w:val="left"/>
            </w:pPr>
            <w:r/>
            <w:r>
              <w:rPr>
                <w:b w:val="0"/>
                <w:sz w:val="16"/>
              </w:rPr>
              <w:t>India (with BD, NP, PK data)</w:t>
            </w:r>
          </w:p>
        </w:tc>
        <w:tc>
          <w:tcPr>
            <w:tcW w:type="dxa" w:w="1170"/>
          </w:tcPr>
          <w:p>
            <w:pPr>
              <w:spacing w:line="240" w:lineRule="auto" w:after="0" w:before="0"/>
              <w:ind w:firstLine="0"/>
              <w:jc w:val="left"/>
            </w:pPr>
            <w:r/>
            <w:r>
              <w:rPr>
                <w:b w:val="0"/>
                <w:sz w:val="16"/>
              </w:rPr>
              <w:t>P(As &gt; 10 µg/L)</w:t>
            </w:r>
          </w:p>
        </w:tc>
        <w:tc>
          <w:tcPr>
            <w:tcW w:type="dxa" w:w="1170"/>
          </w:tcPr>
          <w:p>
            <w:pPr>
              <w:spacing w:line="240" w:lineRule="auto" w:after="0" w:before="0"/>
              <w:ind w:firstLine="0"/>
              <w:jc w:val="left"/>
            </w:pPr>
            <w:r/>
            <w:r>
              <w:rPr>
                <w:b w:val="0"/>
                <w:sz w:val="16"/>
              </w:rPr>
              <w:t>Geospatial</w:t>
            </w:r>
          </w:p>
        </w:tc>
        <w:tc>
          <w:tcPr>
            <w:tcW w:type="dxa" w:w="1170"/>
          </w:tcPr>
          <w:p>
            <w:pPr>
              <w:spacing w:line="240" w:lineRule="auto" w:after="0" w:before="0"/>
              <w:ind w:firstLine="0"/>
              <w:jc w:val="left"/>
            </w:pPr>
            <w:r/>
            <w:r>
              <w:rPr>
                <w:b w:val="0"/>
                <w:sz w:val="16"/>
              </w:rPr>
              <w:t>n.r.</w:t>
            </w:r>
          </w:p>
        </w:tc>
        <w:tc>
          <w:tcPr>
            <w:tcW w:type="dxa" w:w="1170"/>
          </w:tcPr>
          <w:p>
            <w:pPr>
              <w:spacing w:line="240" w:lineRule="auto" w:after="0" w:before="0"/>
              <w:ind w:firstLine="0"/>
              <w:jc w:val="left"/>
            </w:pPr>
            <w:r/>
            <w:r>
              <w:rPr>
                <w:b w:val="0"/>
                <w:sz w:val="16"/>
              </w:rPr>
              <w:t>Class probability</w:t>
            </w:r>
          </w:p>
        </w:tc>
        <w:tc>
          <w:tcPr>
            <w:tcW w:type="dxa" w:w="1170"/>
          </w:tcPr>
          <w:p>
            <w:pPr>
              <w:spacing w:line="240" w:lineRule="auto" w:after="0" w:before="0"/>
              <w:ind w:firstLine="0"/>
              <w:jc w:val="left"/>
            </w:pPr>
            <w:r/>
            <w:r>
              <w:rPr>
                <w:b w:val="0"/>
                <w:sz w:val="16"/>
              </w:rPr>
              <w:t>Binarised</w:t>
            </w:r>
          </w:p>
        </w:tc>
        <w:tc>
          <w:tcPr>
            <w:tcW w:type="dxa" w:w="1170"/>
          </w:tcPr>
          <w:p>
            <w:pPr>
              <w:spacing w:line="240" w:lineRule="auto" w:after="0" w:before="0"/>
              <w:ind w:firstLine="0"/>
              <w:jc w:val="left"/>
            </w:pPr>
            <w:r/>
            <w:r>
              <w:rPr>
                <w:b w:val="0"/>
                <w:sz w:val="16"/>
              </w:rPr>
              <w:t>Abstract</w:t>
            </w:r>
          </w:p>
        </w:tc>
      </w:tr>
      <w:tr>
        <w:tc>
          <w:tcPr>
            <w:tcW w:type="dxa" w:w="1170"/>
          </w:tcPr>
          <w:p>
            <w:pPr>
              <w:spacing w:line="240" w:lineRule="auto" w:after="0" w:before="0"/>
              <w:ind w:firstLine="0"/>
              <w:jc w:val="left"/>
            </w:pPr>
            <w:r/>
            <w:r>
              <w:rPr>
                <w:b w:val="0"/>
                <w:sz w:val="16"/>
              </w:rPr>
              <w:t>Tan et al. (2020) [30]</w:t>
            </w:r>
          </w:p>
        </w:tc>
        <w:tc>
          <w:tcPr>
            <w:tcW w:type="dxa" w:w="1170"/>
          </w:tcPr>
          <w:p>
            <w:pPr>
              <w:spacing w:line="240" w:lineRule="auto" w:after="0" w:before="0"/>
              <w:ind w:firstLine="0"/>
              <w:jc w:val="left"/>
            </w:pPr>
            <w:r/>
            <w:r>
              <w:rPr>
                <w:b w:val="0"/>
                <w:sz w:val="16"/>
              </w:rPr>
              <w:t>Bangladesh</w:t>
            </w:r>
          </w:p>
        </w:tc>
        <w:tc>
          <w:tcPr>
            <w:tcW w:type="dxa" w:w="1170"/>
          </w:tcPr>
          <w:p>
            <w:pPr>
              <w:spacing w:line="240" w:lineRule="auto" w:after="0" w:before="0"/>
              <w:ind w:firstLine="0"/>
              <w:jc w:val="left"/>
            </w:pPr>
            <w:r/>
            <w:r>
              <w:rPr>
                <w:b w:val="0"/>
                <w:sz w:val="16"/>
              </w:rPr>
              <w:t>P(As &gt; 5, 10, 50 µg/L)</w:t>
            </w:r>
          </w:p>
        </w:tc>
        <w:tc>
          <w:tcPr>
            <w:tcW w:type="dxa" w:w="1170"/>
          </w:tcPr>
          <w:p>
            <w:pPr>
              <w:spacing w:line="240" w:lineRule="auto" w:after="0" w:before="0"/>
              <w:ind w:firstLine="0"/>
              <w:jc w:val="left"/>
            </w:pPr>
            <w:r/>
            <w:r>
              <w:rPr>
                <w:b w:val="0"/>
                <w:sz w:val="16"/>
              </w:rPr>
              <w:t>Geospatial + laboratory hydrochemistry</w:t>
            </w:r>
          </w:p>
        </w:tc>
        <w:tc>
          <w:tcPr>
            <w:tcW w:type="dxa" w:w="1170"/>
          </w:tcPr>
          <w:p>
            <w:pPr>
              <w:spacing w:line="240" w:lineRule="auto" w:after="0" w:before="0"/>
              <w:ind w:firstLine="0"/>
              <w:jc w:val="left"/>
            </w:pPr>
            <w:r/>
            <w:r>
              <w:rPr>
                <w:b w:val="0"/>
                <w:sz w:val="16"/>
              </w:rPr>
              <w:t>Repeated random 10-fold CV</w:t>
            </w:r>
          </w:p>
        </w:tc>
        <w:tc>
          <w:tcPr>
            <w:tcW w:type="dxa" w:w="1170"/>
          </w:tcPr>
          <w:p>
            <w:pPr>
              <w:spacing w:line="240" w:lineRule="auto" w:after="0" w:before="0"/>
              <w:ind w:firstLine="0"/>
              <w:jc w:val="left"/>
            </w:pPr>
            <w:r/>
            <w:r>
              <w:rPr>
                <w:b w:val="0"/>
                <w:sz w:val="16"/>
              </w:rPr>
              <w:t>Class probability</w:t>
            </w:r>
          </w:p>
        </w:tc>
        <w:tc>
          <w:tcPr>
            <w:tcW w:type="dxa" w:w="1170"/>
          </w:tcPr>
          <w:p>
            <w:pPr>
              <w:spacing w:line="240" w:lineRule="auto" w:after="0" w:before="0"/>
              <w:ind w:firstLine="0"/>
              <w:jc w:val="left"/>
            </w:pPr>
            <w:r/>
            <w:r>
              <w:rPr>
                <w:b w:val="0"/>
                <w:sz w:val="16"/>
              </w:rPr>
              <w:t>Binarised</w:t>
            </w:r>
          </w:p>
        </w:tc>
        <w:tc>
          <w:tcPr>
            <w:tcW w:type="dxa" w:w="1170"/>
          </w:tcPr>
          <w:p>
            <w:pPr>
              <w:spacing w:line="240" w:lineRule="auto" w:after="0" w:before="0"/>
              <w:ind w:firstLine="0"/>
              <w:jc w:val="left"/>
            </w:pPr>
            <w:r/>
            <w:r>
              <w:rPr>
                <w:b w:val="0"/>
                <w:sz w:val="16"/>
              </w:rPr>
              <w:t>Abstract, excerpts</w:t>
            </w:r>
          </w:p>
        </w:tc>
      </w:tr>
      <w:tr>
        <w:tc>
          <w:tcPr>
            <w:tcW w:type="dxa" w:w="1170"/>
          </w:tcPr>
          <w:p>
            <w:pPr>
              <w:spacing w:line="240" w:lineRule="auto" w:after="0" w:before="0"/>
              <w:ind w:firstLine="0"/>
              <w:jc w:val="left"/>
            </w:pPr>
            <w:r/>
            <w:r>
              <w:rPr>
                <w:b w:val="0"/>
                <w:sz w:val="16"/>
              </w:rPr>
              <w:t>Nath et al. (2022) [33]</w:t>
            </w:r>
          </w:p>
        </w:tc>
        <w:tc>
          <w:tcPr>
            <w:tcW w:type="dxa" w:w="1170"/>
          </w:tcPr>
          <w:p>
            <w:pPr>
              <w:spacing w:line="240" w:lineRule="auto" w:after="0" w:before="0"/>
              <w:ind w:firstLine="0"/>
              <w:jc w:val="left"/>
            </w:pPr>
            <w:r/>
            <w:r>
              <w:rPr>
                <w:b w:val="0"/>
                <w:sz w:val="16"/>
              </w:rPr>
              <w:t>Murshidabad, West Bengal</w:t>
            </w:r>
          </w:p>
        </w:tc>
        <w:tc>
          <w:tcPr>
            <w:tcW w:type="dxa" w:w="1170"/>
          </w:tcPr>
          <w:p>
            <w:pPr>
              <w:spacing w:line="240" w:lineRule="auto" w:after="0" w:before="0"/>
              <w:ind w:firstLine="0"/>
              <w:jc w:val="left"/>
            </w:pPr>
            <w:r/>
            <w:r>
              <w:rPr>
                <w:b w:val="0"/>
                <w:sz w:val="16"/>
              </w:rPr>
              <w:t>P(As &gt; 10 µg/L)</w:t>
            </w:r>
          </w:p>
        </w:tc>
        <w:tc>
          <w:tcPr>
            <w:tcW w:type="dxa" w:w="1170"/>
          </w:tcPr>
          <w:p>
            <w:pPr>
              <w:spacing w:line="240" w:lineRule="auto" w:after="0" w:before="0"/>
              <w:ind w:firstLine="0"/>
              <w:jc w:val="left"/>
            </w:pPr>
            <w:r/>
            <w:r>
              <w:rPr>
                <w:b w:val="0"/>
                <w:sz w:val="16"/>
              </w:rPr>
              <w:t>Geospatial</w:t>
            </w:r>
          </w:p>
        </w:tc>
        <w:tc>
          <w:tcPr>
            <w:tcW w:type="dxa" w:w="1170"/>
          </w:tcPr>
          <w:p>
            <w:pPr>
              <w:spacing w:line="240" w:lineRule="auto" w:after="0" w:before="0"/>
              <w:ind w:firstLine="0"/>
              <w:jc w:val="left"/>
            </w:pPr>
            <w:r/>
            <w:r>
              <w:rPr>
                <w:b w:val="0"/>
                <w:sz w:val="16"/>
              </w:rPr>
              <w:t>Stratified random 70/30; 10-fold CV; area of applicability checked</w:t>
            </w:r>
          </w:p>
        </w:tc>
        <w:tc>
          <w:tcPr>
            <w:tcW w:type="dxa" w:w="1170"/>
          </w:tcPr>
          <w:p>
            <w:pPr>
              <w:spacing w:line="240" w:lineRule="auto" w:after="0" w:before="0"/>
              <w:ind w:firstLine="0"/>
              <w:jc w:val="left"/>
            </w:pPr>
            <w:r/>
            <w:r>
              <w:rPr>
                <w:b w:val="0"/>
                <w:sz w:val="16"/>
              </w:rPr>
              <w:t>Class probability; SD of tree votes</w:t>
            </w:r>
          </w:p>
        </w:tc>
        <w:tc>
          <w:tcPr>
            <w:tcW w:type="dxa" w:w="1170"/>
          </w:tcPr>
          <w:p>
            <w:pPr>
              <w:spacing w:line="240" w:lineRule="auto" w:after="0" w:before="0"/>
              <w:ind w:firstLine="0"/>
              <w:jc w:val="left"/>
            </w:pPr>
            <w:r/>
            <w:r>
              <w:rPr>
                <w:b w:val="0"/>
                <w:sz w:val="16"/>
              </w:rPr>
              <w:t>Binarised; stated reason: analytical uncertainty</w:t>
            </w:r>
          </w:p>
        </w:tc>
        <w:tc>
          <w:tcPr>
            <w:tcW w:type="dxa" w:w="1170"/>
          </w:tcPr>
          <w:p>
            <w:pPr>
              <w:spacing w:line="240" w:lineRule="auto" w:after="0" w:before="0"/>
              <w:ind w:firstLine="0"/>
              <w:jc w:val="left"/>
            </w:pPr>
            <w:r/>
            <w:r>
              <w:rPr>
                <w:b w:val="0"/>
                <w:sz w:val="16"/>
              </w:rPr>
              <w:t>Preprint full text</w:t>
            </w:r>
          </w:p>
        </w:tc>
      </w:tr>
      <w:tr>
        <w:tc>
          <w:tcPr>
            <w:tcW w:type="dxa" w:w="1170"/>
          </w:tcPr>
          <w:p>
            <w:pPr>
              <w:spacing w:line="240" w:lineRule="auto" w:after="0" w:before="0"/>
              <w:ind w:firstLine="0"/>
              <w:jc w:val="left"/>
            </w:pPr>
            <w:r/>
            <w:r>
              <w:rPr>
                <w:b w:val="0"/>
                <w:sz w:val="16"/>
              </w:rPr>
              <w:t>Khatun et al. (2024) [34]</w:t>
            </w:r>
          </w:p>
        </w:tc>
        <w:tc>
          <w:tcPr>
            <w:tcW w:type="dxa" w:w="1170"/>
          </w:tcPr>
          <w:p>
            <w:pPr>
              <w:spacing w:line="240" w:lineRule="auto" w:after="0" w:before="0"/>
              <w:ind w:firstLine="0"/>
              <w:jc w:val="left"/>
            </w:pPr>
            <w:r/>
            <w:r>
              <w:rPr>
                <w:b w:val="0"/>
                <w:sz w:val="16"/>
              </w:rPr>
              <w:t>Chapainawabganj, Bangladesh</w:t>
            </w:r>
          </w:p>
        </w:tc>
        <w:tc>
          <w:tcPr>
            <w:tcW w:type="dxa" w:w="1170"/>
          </w:tcPr>
          <w:p>
            <w:pPr>
              <w:spacing w:line="240" w:lineRule="auto" w:after="0" w:before="0"/>
              <w:ind w:firstLine="0"/>
              <w:jc w:val="left"/>
            </w:pPr>
            <w:r/>
            <w:r>
              <w:rPr>
                <w:b w:val="0"/>
                <w:sz w:val="16"/>
              </w:rPr>
              <w:t>As class</w:t>
            </w:r>
          </w:p>
        </w:tc>
        <w:tc>
          <w:tcPr>
            <w:tcW w:type="dxa" w:w="1170"/>
          </w:tcPr>
          <w:p>
            <w:pPr>
              <w:spacing w:line="240" w:lineRule="auto" w:after="0" w:before="0"/>
              <w:ind w:firstLine="0"/>
              <w:jc w:val="left"/>
            </w:pPr>
            <w:r/>
            <w:r>
              <w:rPr>
                <w:b w:val="0"/>
                <w:sz w:val="16"/>
              </w:rPr>
              <w:t>n.r.</w:t>
            </w:r>
          </w:p>
        </w:tc>
        <w:tc>
          <w:tcPr>
            <w:tcW w:type="dxa" w:w="1170"/>
          </w:tcPr>
          <w:p>
            <w:pPr>
              <w:spacing w:line="240" w:lineRule="auto" w:after="0" w:before="0"/>
              <w:ind w:firstLine="0"/>
              <w:jc w:val="left"/>
            </w:pPr>
            <w:r/>
            <w:r>
              <w:rPr>
                <w:b w:val="0"/>
                <w:sz w:val="16"/>
              </w:rPr>
              <w:t>n.r.</w:t>
            </w:r>
          </w:p>
        </w:tc>
        <w:tc>
          <w:tcPr>
            <w:tcW w:type="dxa" w:w="1170"/>
          </w:tcPr>
          <w:p>
            <w:pPr>
              <w:spacing w:line="240" w:lineRule="auto" w:after="0" w:before="0"/>
              <w:ind w:firstLine="0"/>
              <w:jc w:val="left"/>
            </w:pPr>
            <w:r/>
            <w:r>
              <w:rPr>
                <w:b w:val="0"/>
                <w:sz w:val="16"/>
              </w:rPr>
              <w:t>Accuracy only</w:t>
            </w:r>
          </w:p>
        </w:tc>
        <w:tc>
          <w:tcPr>
            <w:tcW w:type="dxa" w:w="1170"/>
          </w:tcPr>
          <w:p>
            <w:pPr>
              <w:spacing w:line="240" w:lineRule="auto" w:after="0" w:before="0"/>
              <w:ind w:firstLine="0"/>
              <w:jc w:val="left"/>
            </w:pPr>
            <w:r/>
            <w:r>
              <w:rPr>
                <w:b w:val="0"/>
                <w:sz w:val="16"/>
              </w:rPr>
              <w:t>Classification target</w:t>
            </w:r>
          </w:p>
        </w:tc>
        <w:tc>
          <w:tcPr>
            <w:tcW w:type="dxa" w:w="1170"/>
          </w:tcPr>
          <w:p>
            <w:pPr>
              <w:spacing w:line="240" w:lineRule="auto" w:after="0" w:before="0"/>
              <w:ind w:firstLine="0"/>
              <w:jc w:val="left"/>
            </w:pPr>
            <w:r/>
            <w:r>
              <w:rPr>
                <w:b w:val="0"/>
                <w:sz w:val="16"/>
              </w:rPr>
              <w:t>Abstract</w:t>
            </w:r>
          </w:p>
        </w:tc>
      </w:tr>
      <w:tr>
        <w:tc>
          <w:tcPr>
            <w:tcW w:type="dxa" w:w="1170"/>
          </w:tcPr>
          <w:p>
            <w:pPr>
              <w:spacing w:line="240" w:lineRule="auto" w:after="0" w:before="0"/>
              <w:ind w:firstLine="0"/>
              <w:jc w:val="left"/>
            </w:pPr>
            <w:r/>
            <w:r>
              <w:rPr>
                <w:b w:val="0"/>
                <w:sz w:val="16"/>
              </w:rPr>
              <w:t>Shamsudduha et al. (2015) [38]</w:t>
            </w:r>
          </w:p>
        </w:tc>
        <w:tc>
          <w:tcPr>
            <w:tcW w:type="dxa" w:w="1170"/>
          </w:tcPr>
          <w:p>
            <w:pPr>
              <w:spacing w:line="240" w:lineRule="auto" w:after="0" w:before="0"/>
              <w:ind w:firstLine="0"/>
              <w:jc w:val="left"/>
            </w:pPr>
            <w:r/>
            <w:r>
              <w:rPr>
                <w:b w:val="0"/>
                <w:sz w:val="16"/>
              </w:rPr>
              <w:t>Bangladesh, national</w:t>
            </w:r>
          </w:p>
        </w:tc>
        <w:tc>
          <w:tcPr>
            <w:tcW w:type="dxa" w:w="1170"/>
          </w:tcPr>
          <w:p>
            <w:pPr>
              <w:spacing w:line="240" w:lineRule="auto" w:after="0" w:before="0"/>
              <w:ind w:firstLine="0"/>
              <w:jc w:val="left"/>
            </w:pPr>
            <w:r/>
            <w:r>
              <w:rPr>
                <w:b w:val="0"/>
                <w:sz w:val="16"/>
              </w:rPr>
              <w:t>As concentration</w:t>
            </w:r>
          </w:p>
        </w:tc>
        <w:tc>
          <w:tcPr>
            <w:tcW w:type="dxa" w:w="1170"/>
          </w:tcPr>
          <w:p>
            <w:pPr>
              <w:spacing w:line="240" w:lineRule="auto" w:after="0" w:before="0"/>
              <w:ind w:firstLine="0"/>
              <w:jc w:val="left"/>
            </w:pPr>
            <w:r/>
            <w:r>
              <w:rPr>
                <w:b w:val="0"/>
                <w:sz w:val="16"/>
              </w:rPr>
              <w:t>Hydrogeological, geospatial</w:t>
            </w:r>
          </w:p>
        </w:tc>
        <w:tc>
          <w:tcPr>
            <w:tcW w:type="dxa" w:w="1170"/>
          </w:tcPr>
          <w:p>
            <w:pPr>
              <w:spacing w:line="240" w:lineRule="auto" w:after="0" w:before="0"/>
              <w:ind w:firstLine="0"/>
              <w:jc w:val="left"/>
            </w:pPr>
            <w:r/>
            <w:r>
              <w:rPr>
                <w:b w:val="0"/>
                <w:sz w:val="16"/>
              </w:rPr>
              <w:t>n.r.</w:t>
            </w:r>
          </w:p>
        </w:tc>
        <w:tc>
          <w:tcPr>
            <w:tcW w:type="dxa" w:w="1170"/>
          </w:tcPr>
          <w:p>
            <w:pPr>
              <w:spacing w:line="240" w:lineRule="auto" w:after="0" w:before="0"/>
              <w:ind w:firstLine="0"/>
              <w:jc w:val="left"/>
            </w:pPr>
            <w:r/>
            <w:r>
              <w:rPr>
                <w:b w:val="0"/>
                <w:sz w:val="16"/>
              </w:rPr>
              <w:t>n.r.</w:t>
            </w:r>
          </w:p>
        </w:tc>
        <w:tc>
          <w:tcPr>
            <w:tcW w:type="dxa" w:w="1170"/>
          </w:tcPr>
          <w:p>
            <w:pPr>
              <w:spacing w:line="240" w:lineRule="auto" w:after="0" w:before="0"/>
              <w:ind w:firstLine="0"/>
              <w:jc w:val="left"/>
            </w:pPr>
            <w:r/>
            <w:r>
              <w:rPr>
                <w:b w:val="0"/>
                <w:sz w:val="16"/>
              </w:rPr>
              <w:t>Non-detects acknowledged; treatment n.r.</w:t>
            </w:r>
          </w:p>
        </w:tc>
        <w:tc>
          <w:tcPr>
            <w:tcW w:type="dxa" w:w="1170"/>
          </w:tcPr>
          <w:p>
            <w:pPr>
              <w:spacing w:line="240" w:lineRule="auto" w:after="0" w:before="0"/>
              <w:ind w:firstLine="0"/>
              <w:jc w:val="left"/>
            </w:pPr>
            <w:r/>
            <w:r>
              <w:rPr>
                <w:b w:val="0"/>
                <w:sz w:val="16"/>
              </w:rPr>
              <w:t>Abstract, introduction</w:t>
            </w:r>
          </w:p>
        </w:tc>
      </w:tr>
      <w:tr>
        <w:tc>
          <w:tcPr>
            <w:tcW w:type="dxa" w:w="1170"/>
          </w:tcPr>
          <w:p>
            <w:pPr>
              <w:spacing w:line="240" w:lineRule="auto" w:after="0" w:before="0"/>
              <w:ind w:firstLine="0"/>
              <w:jc w:val="left"/>
            </w:pPr>
            <w:r/>
            <w:r>
              <w:rPr>
                <w:b w:val="0"/>
                <w:sz w:val="16"/>
              </w:rPr>
              <w:t>Hossain et al. (2007) [36]</w:t>
            </w:r>
          </w:p>
        </w:tc>
        <w:tc>
          <w:tcPr>
            <w:tcW w:type="dxa" w:w="1170"/>
          </w:tcPr>
          <w:p>
            <w:pPr>
              <w:spacing w:line="240" w:lineRule="auto" w:after="0" w:before="0"/>
              <w:ind w:firstLine="0"/>
              <w:jc w:val="left"/>
            </w:pPr>
            <w:r/>
            <w:r>
              <w:rPr>
                <w:b w:val="0"/>
                <w:sz w:val="16"/>
              </w:rPr>
              <w:t>Bangladesh, BGS/DPHE</w:t>
            </w:r>
          </w:p>
        </w:tc>
        <w:tc>
          <w:tcPr>
            <w:tcW w:type="dxa" w:w="1170"/>
          </w:tcPr>
          <w:p>
            <w:pPr>
              <w:spacing w:line="240" w:lineRule="auto" w:after="0" w:before="0"/>
              <w:ind w:firstLine="0"/>
              <w:jc w:val="left"/>
            </w:pPr>
            <w:r/>
            <w:r>
              <w:rPr>
                <w:b w:val="0"/>
                <w:sz w:val="16"/>
              </w:rPr>
              <w:t>As concentration</w:t>
            </w:r>
          </w:p>
        </w:tc>
        <w:tc>
          <w:tcPr>
            <w:tcW w:type="dxa" w:w="1170"/>
          </w:tcPr>
          <w:p>
            <w:pPr>
              <w:spacing w:line="240" w:lineRule="auto" w:after="0" w:before="0"/>
              <w:ind w:firstLine="0"/>
              <w:jc w:val="left"/>
            </w:pPr>
            <w:r/>
            <w:r>
              <w:rPr>
                <w:b w:val="0"/>
                <w:sz w:val="16"/>
              </w:rPr>
              <w:t>Location (kriging)</w:t>
            </w:r>
          </w:p>
        </w:tc>
        <w:tc>
          <w:tcPr>
            <w:tcW w:type="dxa" w:w="1170"/>
          </w:tcPr>
          <w:p>
            <w:pPr>
              <w:spacing w:line="240" w:lineRule="auto" w:after="0" w:before="0"/>
              <w:ind w:firstLine="0"/>
              <w:jc w:val="left"/>
            </w:pPr>
            <w:r/>
            <w:r>
              <w:rPr>
                <w:b w:val="0"/>
                <w:sz w:val="16"/>
              </w:rPr>
              <w:t>Monte Carlo random subsampling</w:t>
            </w:r>
          </w:p>
        </w:tc>
        <w:tc>
          <w:tcPr>
            <w:tcW w:type="dxa" w:w="1170"/>
          </w:tcPr>
          <w:p>
            <w:pPr>
              <w:spacing w:line="240" w:lineRule="auto" w:after="0" w:before="0"/>
              <w:ind w:firstLine="0"/>
              <w:jc w:val="left"/>
            </w:pPr>
            <w:r/>
            <w:r>
              <w:rPr>
                <w:b w:val="0"/>
                <w:sz w:val="16"/>
              </w:rPr>
              <w:t>Point estimate</w:t>
            </w:r>
          </w:p>
        </w:tc>
        <w:tc>
          <w:tcPr>
            <w:tcW w:type="dxa" w:w="1170"/>
          </w:tcPr>
          <w:p>
            <w:pPr>
              <w:spacing w:line="240" w:lineRule="auto" w:after="0" w:before="0"/>
              <w:ind w:firstLine="0"/>
              <w:jc w:val="left"/>
            </w:pPr>
            <w:r/>
            <w:r>
              <w:rPr>
                <w:b w:val="0"/>
                <w:sz w:val="16"/>
              </w:rPr>
              <w:t>n.r.</w:t>
            </w:r>
          </w:p>
        </w:tc>
        <w:tc>
          <w:tcPr>
            <w:tcW w:type="dxa" w:w="1170"/>
          </w:tcPr>
          <w:p>
            <w:pPr>
              <w:spacing w:line="240" w:lineRule="auto" w:after="0" w:before="0"/>
              <w:ind w:firstLine="0"/>
              <w:jc w:val="left"/>
            </w:pPr>
            <w:r/>
            <w:r>
              <w:rPr>
                <w:b w:val="0"/>
                <w:sz w:val="16"/>
              </w:rPr>
              <w:t>Abstract</w:t>
            </w:r>
          </w:p>
        </w:tc>
      </w:tr>
      <w:tr>
        <w:tc>
          <w:tcPr>
            <w:tcW w:type="dxa" w:w="1170"/>
          </w:tcPr>
          <w:p>
            <w:pPr>
              <w:spacing w:line="240" w:lineRule="auto" w:after="0" w:before="0"/>
              <w:ind w:firstLine="0"/>
              <w:jc w:val="left"/>
            </w:pPr>
            <w:r/>
            <w:r>
              <w:rPr>
                <w:b w:val="0"/>
                <w:sz w:val="16"/>
              </w:rPr>
              <w:t>Ayotte et al. (2017) [31]</w:t>
            </w:r>
          </w:p>
        </w:tc>
        <w:tc>
          <w:tcPr>
            <w:tcW w:type="dxa" w:w="1170"/>
          </w:tcPr>
          <w:p>
            <w:pPr>
              <w:spacing w:line="240" w:lineRule="auto" w:after="0" w:before="0"/>
              <w:ind w:firstLine="0"/>
              <w:jc w:val="left"/>
            </w:pPr>
            <w:r/>
            <w:r>
              <w:rPr>
                <w:b w:val="0"/>
                <w:sz w:val="16"/>
              </w:rPr>
              <w:t>USA</w:t>
            </w:r>
          </w:p>
        </w:tc>
        <w:tc>
          <w:tcPr>
            <w:tcW w:type="dxa" w:w="1170"/>
          </w:tcPr>
          <w:p>
            <w:pPr>
              <w:spacing w:line="240" w:lineRule="auto" w:after="0" w:before="0"/>
              <w:ind w:firstLine="0"/>
              <w:jc w:val="left"/>
            </w:pPr>
            <w:r/>
            <w:r>
              <w:rPr>
                <w:b w:val="0"/>
                <w:sz w:val="16"/>
              </w:rPr>
              <w:t>P(As &gt; 10 µg/L)</w:t>
            </w:r>
          </w:p>
        </w:tc>
        <w:tc>
          <w:tcPr>
            <w:tcW w:type="dxa" w:w="1170"/>
          </w:tcPr>
          <w:p>
            <w:pPr>
              <w:spacing w:line="240" w:lineRule="auto" w:after="0" w:before="0"/>
              <w:ind w:firstLine="0"/>
              <w:jc w:val="left"/>
            </w:pPr>
            <w:r/>
            <w:r>
              <w:rPr>
                <w:b w:val="0"/>
                <w:sz w:val="16"/>
              </w:rPr>
              <w:t>Geospatial</w:t>
            </w:r>
          </w:p>
        </w:tc>
        <w:tc>
          <w:tcPr>
            <w:tcW w:type="dxa" w:w="1170"/>
          </w:tcPr>
          <w:p>
            <w:pPr>
              <w:spacing w:line="240" w:lineRule="auto" w:after="0" w:before="0"/>
              <w:ind w:firstLine="0"/>
              <w:jc w:val="left"/>
            </w:pPr>
            <w:r/>
            <w:r>
              <w:rPr>
                <w:b w:val="0"/>
                <w:sz w:val="16"/>
              </w:rPr>
              <w:t>Train/test</w:t>
            </w:r>
          </w:p>
        </w:tc>
        <w:tc>
          <w:tcPr>
            <w:tcW w:type="dxa" w:w="1170"/>
          </w:tcPr>
          <w:p>
            <w:pPr>
              <w:spacing w:line="240" w:lineRule="auto" w:after="0" w:before="0"/>
              <w:ind w:firstLine="0"/>
              <w:jc w:val="left"/>
            </w:pPr>
            <w:r/>
            <w:r>
              <w:rPr>
                <w:b w:val="0"/>
                <w:sz w:val="16"/>
              </w:rPr>
              <w:t>CI on population total</w:t>
            </w:r>
          </w:p>
        </w:tc>
        <w:tc>
          <w:tcPr>
            <w:tcW w:type="dxa" w:w="1170"/>
          </w:tcPr>
          <w:p>
            <w:pPr>
              <w:spacing w:line="240" w:lineRule="auto" w:after="0" w:before="0"/>
              <w:ind w:firstLine="0"/>
              <w:jc w:val="left"/>
            </w:pPr>
            <w:r/>
            <w:r>
              <w:rPr>
                <w:b w:val="0"/>
                <w:sz w:val="16"/>
              </w:rPr>
              <w:t>Binarised</w:t>
            </w:r>
          </w:p>
        </w:tc>
        <w:tc>
          <w:tcPr>
            <w:tcW w:type="dxa" w:w="1170"/>
          </w:tcPr>
          <w:p>
            <w:pPr>
              <w:spacing w:line="240" w:lineRule="auto" w:after="0" w:before="0"/>
              <w:ind w:firstLine="0"/>
              <w:jc w:val="left"/>
            </w:pPr>
            <w:r/>
            <w:r>
              <w:rPr>
                <w:b w:val="0"/>
                <w:sz w:val="16"/>
              </w:rPr>
              <w:t>Abstract; Lombard et al.</w:t>
            </w:r>
          </w:p>
        </w:tc>
      </w:tr>
      <w:tr>
        <w:tc>
          <w:tcPr>
            <w:tcW w:type="dxa" w:w="1170"/>
          </w:tcPr>
          <w:p>
            <w:pPr>
              <w:spacing w:line="240" w:lineRule="auto" w:after="0" w:before="0"/>
              <w:ind w:firstLine="0"/>
              <w:jc w:val="left"/>
            </w:pPr>
            <w:r/>
            <w:r>
              <w:rPr>
                <w:b w:val="0"/>
                <w:sz w:val="16"/>
              </w:rPr>
              <w:t>Lombard et al. (2021) [32]</w:t>
            </w:r>
          </w:p>
        </w:tc>
        <w:tc>
          <w:tcPr>
            <w:tcW w:type="dxa" w:w="1170"/>
          </w:tcPr>
          <w:p>
            <w:pPr>
              <w:spacing w:line="240" w:lineRule="auto" w:after="0" w:before="0"/>
              <w:ind w:firstLine="0"/>
              <w:jc w:val="left"/>
            </w:pPr>
            <w:r/>
            <w:r>
              <w:rPr>
                <w:b w:val="0"/>
                <w:sz w:val="16"/>
              </w:rPr>
              <w:t>USA</w:t>
            </w:r>
          </w:p>
        </w:tc>
        <w:tc>
          <w:tcPr>
            <w:tcW w:type="dxa" w:w="1170"/>
          </w:tcPr>
          <w:p>
            <w:pPr>
              <w:spacing w:line="240" w:lineRule="auto" w:after="0" w:before="0"/>
              <w:ind w:firstLine="0"/>
              <w:jc w:val="left"/>
            </w:pPr>
            <w:r/>
            <w:r>
              <w:rPr>
                <w:b w:val="0"/>
                <w:sz w:val="16"/>
              </w:rPr>
              <w:t>P(As &gt; 1, 5, 10 µg/L); class</w:t>
            </w:r>
          </w:p>
        </w:tc>
        <w:tc>
          <w:tcPr>
            <w:tcW w:type="dxa" w:w="1170"/>
          </w:tcPr>
          <w:p>
            <w:pPr>
              <w:spacing w:line="240" w:lineRule="auto" w:after="0" w:before="0"/>
              <w:ind w:firstLine="0"/>
              <w:jc w:val="left"/>
            </w:pPr>
            <w:r/>
            <w:r>
              <w:rPr>
                <w:b w:val="0"/>
                <w:sz w:val="16"/>
              </w:rPr>
              <w:t>Geospatial</w:t>
            </w:r>
          </w:p>
        </w:tc>
        <w:tc>
          <w:tcPr>
            <w:tcW w:type="dxa" w:w="1170"/>
          </w:tcPr>
          <w:p>
            <w:pPr>
              <w:spacing w:line="240" w:lineRule="auto" w:after="0" w:before="0"/>
              <w:ind w:firstLine="0"/>
              <w:jc w:val="left"/>
            </w:pPr>
            <w:r/>
            <w:r>
              <w:rPr>
                <w:b w:val="0"/>
                <w:sz w:val="16"/>
              </w:rPr>
              <w:t>Stratified random 70/30; 10-fold CV tuning</w:t>
            </w:r>
          </w:p>
        </w:tc>
        <w:tc>
          <w:tcPr>
            <w:tcW w:type="dxa" w:w="1170"/>
          </w:tcPr>
          <w:p>
            <w:pPr>
              <w:spacing w:line="240" w:lineRule="auto" w:after="0" w:before="0"/>
              <w:ind w:firstLine="0"/>
              <w:jc w:val="left"/>
            </w:pPr>
            <w:r/>
            <w:r>
              <w:rPr>
                <w:b w:val="0"/>
                <w:sz w:val="16"/>
              </w:rPr>
              <w:t>Bootstrap CI on probability</w:t>
            </w:r>
          </w:p>
        </w:tc>
        <w:tc>
          <w:tcPr>
            <w:tcW w:type="dxa" w:w="1170"/>
          </w:tcPr>
          <w:p>
            <w:pPr>
              <w:spacing w:line="240" w:lineRule="auto" w:after="0" w:before="0"/>
              <w:ind w:firstLine="0"/>
              <w:jc w:val="left"/>
            </w:pPr>
            <w:r/>
            <w:r>
              <w:rPr>
                <w:b w:val="0"/>
                <w:sz w:val="16"/>
              </w:rPr>
              <w:t>Binarised; stated reason: 45 % of wells below reporting limit</w:t>
            </w:r>
          </w:p>
        </w:tc>
        <w:tc>
          <w:tcPr>
            <w:tcW w:type="dxa" w:w="1170"/>
          </w:tcPr>
          <w:p>
            <w:pPr>
              <w:spacing w:line="240" w:lineRule="auto" w:after="0" w:before="0"/>
              <w:ind w:firstLine="0"/>
              <w:jc w:val="left"/>
            </w:pPr>
            <w:r/>
            <w:r>
              <w:rPr>
                <w:b w:val="0"/>
                <w:sz w:val="16"/>
              </w:rPr>
              <w:t>Full text</w:t>
            </w:r>
          </w:p>
        </w:tc>
      </w:tr>
      <w:tr>
        <w:tc>
          <w:tcPr>
            <w:tcW w:type="dxa" w:w="1170"/>
          </w:tcPr>
          <w:p>
            <w:pPr>
              <w:spacing w:line="240" w:lineRule="auto" w:after="0" w:before="0"/>
              <w:ind w:firstLine="0"/>
              <w:jc w:val="left"/>
            </w:pPr>
            <w:r/>
            <w:r>
              <w:rPr>
                <w:b w:val="0"/>
                <w:sz w:val="16"/>
              </w:rPr>
              <w:t>Ghadimi (2015) [39]</w:t>
            </w:r>
          </w:p>
        </w:tc>
        <w:tc>
          <w:tcPr>
            <w:tcW w:type="dxa" w:w="1170"/>
          </w:tcPr>
          <w:p>
            <w:pPr>
              <w:spacing w:line="240" w:lineRule="auto" w:after="0" w:before="0"/>
              <w:ind w:firstLine="0"/>
              <w:jc w:val="left"/>
            </w:pPr>
            <w:r/>
            <w:r>
              <w:rPr>
                <w:b w:val="0"/>
                <w:sz w:val="16"/>
              </w:rPr>
              <w:t>Arak, Iran</w:t>
            </w:r>
          </w:p>
        </w:tc>
        <w:tc>
          <w:tcPr>
            <w:tcW w:type="dxa" w:w="1170"/>
          </w:tcPr>
          <w:p>
            <w:pPr>
              <w:spacing w:line="240" w:lineRule="auto" w:after="0" w:before="0"/>
              <w:ind w:firstLine="0"/>
              <w:jc w:val="left"/>
            </w:pPr>
            <w:r/>
            <w:r>
              <w:rPr>
                <w:b w:val="0"/>
                <w:sz w:val="16"/>
              </w:rPr>
              <w:t>Pb, Zn, Cu</w:t>
            </w:r>
          </w:p>
        </w:tc>
        <w:tc>
          <w:tcPr>
            <w:tcW w:type="dxa" w:w="1170"/>
          </w:tcPr>
          <w:p>
            <w:pPr>
              <w:spacing w:line="240" w:lineRule="auto" w:after="0" w:before="0"/>
              <w:ind w:firstLine="0"/>
              <w:jc w:val="left"/>
            </w:pPr>
            <w:r/>
            <w:r>
              <w:rPr>
                <w:b w:val="0"/>
                <w:sz w:val="16"/>
              </w:rPr>
              <w:t>Laboratory major ions (HCO₃, SO₄)</w:t>
            </w:r>
          </w:p>
        </w:tc>
        <w:tc>
          <w:tcPr>
            <w:tcW w:type="dxa" w:w="1170"/>
          </w:tcPr>
          <w:p>
            <w:pPr>
              <w:spacing w:line="240" w:lineRule="auto" w:after="0" w:before="0"/>
              <w:ind w:firstLine="0"/>
              <w:jc w:val="left"/>
            </w:pPr>
            <w:r/>
            <w:r>
              <w:rPr>
                <w:b w:val="0"/>
                <w:sz w:val="16"/>
              </w:rPr>
              <w:t>Train/test</w:t>
            </w:r>
          </w:p>
        </w:tc>
        <w:tc>
          <w:tcPr>
            <w:tcW w:type="dxa" w:w="1170"/>
          </w:tcPr>
          <w:p>
            <w:pPr>
              <w:spacing w:line="240" w:lineRule="auto" w:after="0" w:before="0"/>
              <w:ind w:firstLine="0"/>
              <w:jc w:val="left"/>
            </w:pPr>
            <w:r/>
            <w:r>
              <w:rPr>
                <w:b w:val="0"/>
                <w:sz w:val="16"/>
              </w:rPr>
              <w:t>None</w:t>
            </w:r>
          </w:p>
        </w:tc>
        <w:tc>
          <w:tcPr>
            <w:tcW w:type="dxa" w:w="1170"/>
          </w:tcPr>
          <w:p>
            <w:pPr>
              <w:spacing w:line="240" w:lineRule="auto" w:after="0" w:before="0"/>
              <w:ind w:firstLine="0"/>
              <w:jc w:val="left"/>
            </w:pPr>
            <w:r/>
            <w:r>
              <w:rPr>
                <w:b w:val="0"/>
                <w:sz w:val="16"/>
              </w:rPr>
              <w:t>n.r.</w:t>
            </w:r>
          </w:p>
        </w:tc>
        <w:tc>
          <w:tcPr>
            <w:tcW w:type="dxa" w:w="1170"/>
          </w:tcPr>
          <w:p>
            <w:pPr>
              <w:spacing w:line="240" w:lineRule="auto" w:after="0" w:before="0"/>
              <w:ind w:firstLine="0"/>
              <w:jc w:val="left"/>
            </w:pPr>
            <w:r/>
            <w:r>
              <w:rPr>
                <w:b w:val="0"/>
                <w:sz w:val="16"/>
              </w:rPr>
              <w:t>Abstract</w:t>
            </w:r>
          </w:p>
        </w:tc>
      </w:tr>
      <w:tr>
        <w:tc>
          <w:tcPr>
            <w:tcW w:type="dxa" w:w="1170"/>
          </w:tcPr>
          <w:p>
            <w:pPr>
              <w:spacing w:line="240" w:lineRule="auto" w:after="0" w:before="0"/>
              <w:ind w:firstLine="0"/>
              <w:jc w:val="left"/>
            </w:pPr>
            <w:r/>
            <w:r>
              <w:rPr>
                <w:b w:val="0"/>
                <w:sz w:val="16"/>
              </w:rPr>
              <w:t>Ghadimi (2017) [40]</w:t>
            </w:r>
          </w:p>
        </w:tc>
        <w:tc>
          <w:tcPr>
            <w:tcW w:type="dxa" w:w="1170"/>
          </w:tcPr>
          <w:p>
            <w:pPr>
              <w:spacing w:line="240" w:lineRule="auto" w:after="0" w:before="0"/>
              <w:ind w:firstLine="0"/>
              <w:jc w:val="left"/>
            </w:pPr>
            <w:r/>
            <w:r>
              <w:rPr>
                <w:b w:val="0"/>
                <w:sz w:val="16"/>
              </w:rPr>
              <w:t>Arak, Iran</w:t>
            </w:r>
          </w:p>
        </w:tc>
        <w:tc>
          <w:tcPr>
            <w:tcW w:type="dxa" w:w="1170"/>
          </w:tcPr>
          <w:p>
            <w:pPr>
              <w:spacing w:line="240" w:lineRule="auto" w:after="0" w:before="0"/>
              <w:ind w:firstLine="0"/>
              <w:jc w:val="left"/>
            </w:pPr>
            <w:r/>
            <w:r>
              <w:rPr>
                <w:b w:val="0"/>
                <w:sz w:val="16"/>
              </w:rPr>
              <w:t>Pb, Zn, Cu</w:t>
            </w:r>
          </w:p>
        </w:tc>
        <w:tc>
          <w:tcPr>
            <w:tcW w:type="dxa" w:w="1170"/>
          </w:tcPr>
          <w:p>
            <w:pPr>
              <w:spacing w:line="240" w:lineRule="auto" w:after="0" w:before="0"/>
              <w:ind w:firstLine="0"/>
              <w:jc w:val="left"/>
            </w:pPr>
            <w:r/>
            <w:r>
              <w:rPr>
                <w:b w:val="0"/>
                <w:sz w:val="16"/>
              </w:rPr>
              <w:t>Laboratory major ions (HCO₃, SO₄)</w:t>
            </w:r>
          </w:p>
        </w:tc>
        <w:tc>
          <w:tcPr>
            <w:tcW w:type="dxa" w:w="1170"/>
          </w:tcPr>
          <w:p>
            <w:pPr>
              <w:spacing w:line="240" w:lineRule="auto" w:after="0" w:before="0"/>
              <w:ind w:firstLine="0"/>
              <w:jc w:val="left"/>
            </w:pPr>
            <w:r/>
            <w:r>
              <w:rPr>
                <w:b w:val="0"/>
                <w:sz w:val="16"/>
              </w:rPr>
              <w:t>Train/test</w:t>
            </w:r>
          </w:p>
        </w:tc>
        <w:tc>
          <w:tcPr>
            <w:tcW w:type="dxa" w:w="1170"/>
          </w:tcPr>
          <w:p>
            <w:pPr>
              <w:spacing w:line="240" w:lineRule="auto" w:after="0" w:before="0"/>
              <w:ind w:firstLine="0"/>
              <w:jc w:val="left"/>
            </w:pPr>
            <w:r/>
            <w:r>
              <w:rPr>
                <w:b w:val="0"/>
                <w:sz w:val="16"/>
              </w:rPr>
              <w:t>None</w:t>
            </w:r>
          </w:p>
        </w:tc>
        <w:tc>
          <w:tcPr>
            <w:tcW w:type="dxa" w:w="1170"/>
          </w:tcPr>
          <w:p>
            <w:pPr>
              <w:spacing w:line="240" w:lineRule="auto" w:after="0" w:before="0"/>
              <w:ind w:firstLine="0"/>
              <w:jc w:val="left"/>
            </w:pPr>
            <w:r/>
            <w:r>
              <w:rPr>
                <w:b w:val="0"/>
                <w:sz w:val="16"/>
              </w:rPr>
              <w:t>n.r.</w:t>
            </w:r>
          </w:p>
        </w:tc>
        <w:tc>
          <w:tcPr>
            <w:tcW w:type="dxa" w:w="1170"/>
          </w:tcPr>
          <w:p>
            <w:pPr>
              <w:spacing w:line="240" w:lineRule="auto" w:after="0" w:before="0"/>
              <w:ind w:firstLine="0"/>
              <w:jc w:val="left"/>
            </w:pPr>
            <w:r/>
            <w:r>
              <w:rPr>
                <w:b w:val="0"/>
                <w:sz w:val="16"/>
              </w:rPr>
              <w:t>Abstract</w:t>
            </w:r>
          </w:p>
        </w:tc>
      </w:tr>
      <w:tr>
        <w:tc>
          <w:tcPr>
            <w:tcW w:type="dxa" w:w="1170"/>
          </w:tcPr>
          <w:p>
            <w:pPr>
              <w:spacing w:line="240" w:lineRule="auto" w:after="0" w:before="0"/>
              <w:ind w:firstLine="0"/>
              <w:jc w:val="left"/>
            </w:pPr>
            <w:r/>
            <w:r>
              <w:rPr>
                <w:b w:val="0"/>
                <w:sz w:val="16"/>
              </w:rPr>
              <w:t>Khosravi et al. (2021) [41]</w:t>
            </w:r>
          </w:p>
        </w:tc>
        <w:tc>
          <w:tcPr>
            <w:tcW w:type="dxa" w:w="1170"/>
          </w:tcPr>
          <w:p>
            <w:pPr>
              <w:spacing w:line="240" w:lineRule="auto" w:after="0" w:before="0"/>
              <w:ind w:firstLine="0"/>
              <w:jc w:val="left"/>
            </w:pPr>
            <w:r/>
            <w:r>
              <w:rPr>
                <w:b w:val="0"/>
                <w:sz w:val="16"/>
              </w:rPr>
              <w:t>Campania Plain, Italy</w:t>
            </w:r>
          </w:p>
        </w:tc>
        <w:tc>
          <w:tcPr>
            <w:tcW w:type="dxa" w:w="1170"/>
          </w:tcPr>
          <w:p>
            <w:pPr>
              <w:spacing w:line="240" w:lineRule="auto" w:after="0" w:before="0"/>
              <w:ind w:firstLine="0"/>
              <w:jc w:val="left"/>
            </w:pPr>
            <w:r/>
            <w:r>
              <w:rPr>
                <w:b w:val="0"/>
                <w:sz w:val="16"/>
              </w:rPr>
              <w:t>As, Ba, Rb</w:t>
            </w:r>
          </w:p>
        </w:tc>
        <w:tc>
          <w:tcPr>
            <w:tcW w:type="dxa" w:w="1170"/>
          </w:tcPr>
          <w:p>
            <w:pPr>
              <w:spacing w:line="240" w:lineRule="auto" w:after="0" w:before="0"/>
              <w:ind w:firstLine="0"/>
              <w:jc w:val="left"/>
            </w:pPr>
            <w:r/>
            <w:r>
              <w:rPr>
                <w:b w:val="0"/>
                <w:sz w:val="16"/>
              </w:rPr>
              <w:t>EC, pH + laboratory major ions</w:t>
            </w:r>
          </w:p>
        </w:tc>
        <w:tc>
          <w:tcPr>
            <w:tcW w:type="dxa" w:w="1170"/>
          </w:tcPr>
          <w:p>
            <w:pPr>
              <w:spacing w:line="240" w:lineRule="auto" w:after="0" w:before="0"/>
              <w:ind w:firstLine="0"/>
              <w:jc w:val="left"/>
            </w:pPr>
            <w:r/>
            <w:r>
              <w:rPr>
                <w:b w:val="0"/>
                <w:sz w:val="16"/>
              </w:rPr>
              <w:t>Random 70/30 holdout</w:t>
            </w:r>
          </w:p>
        </w:tc>
        <w:tc>
          <w:tcPr>
            <w:tcW w:type="dxa" w:w="1170"/>
          </w:tcPr>
          <w:p>
            <w:pPr>
              <w:spacing w:line="240" w:lineRule="auto" w:after="0" w:before="0"/>
              <w:ind w:firstLine="0"/>
              <w:jc w:val="left"/>
            </w:pPr>
            <w:r/>
            <w:r>
              <w:rPr>
                <w:b w:val="0"/>
                <w:sz w:val="16"/>
              </w:rPr>
              <w:t>None</w:t>
            </w:r>
          </w:p>
        </w:tc>
        <w:tc>
          <w:tcPr>
            <w:tcW w:type="dxa" w:w="1170"/>
          </w:tcPr>
          <w:p>
            <w:pPr>
              <w:spacing w:line="240" w:lineRule="auto" w:after="0" w:before="0"/>
              <w:ind w:firstLine="0"/>
              <w:jc w:val="left"/>
            </w:pPr>
            <w:r/>
            <w:r>
              <w:rPr>
                <w:b w:val="0"/>
                <w:sz w:val="16"/>
              </w:rPr>
              <w:t>n.r.</w:t>
            </w:r>
          </w:p>
        </w:tc>
        <w:tc>
          <w:tcPr>
            <w:tcW w:type="dxa" w:w="1170"/>
          </w:tcPr>
          <w:p>
            <w:pPr>
              <w:spacing w:line="240" w:lineRule="auto" w:after="0" w:before="0"/>
              <w:ind w:firstLine="0"/>
              <w:jc w:val="left"/>
            </w:pPr>
            <w:r/>
            <w:r>
              <w:rPr>
                <w:b w:val="0"/>
                <w:sz w:val="16"/>
              </w:rPr>
              <w:t>Abstract</w:t>
            </w:r>
          </w:p>
        </w:tc>
      </w:tr>
      <w:tr>
        <w:tc>
          <w:tcPr>
            <w:tcW w:type="dxa" w:w="1170"/>
          </w:tcPr>
          <w:p>
            <w:pPr>
              <w:spacing w:line="240" w:lineRule="auto" w:after="0" w:before="0"/>
              <w:ind w:firstLine="0"/>
              <w:jc w:val="left"/>
            </w:pPr>
            <w:r/>
            <w:r>
              <w:rPr>
                <w:b w:val="0"/>
                <w:sz w:val="16"/>
              </w:rPr>
              <w:t>Bui et al. (2020) [42]</w:t>
            </w:r>
          </w:p>
        </w:tc>
        <w:tc>
          <w:tcPr>
            <w:tcW w:type="dxa" w:w="1170"/>
          </w:tcPr>
          <w:p>
            <w:pPr>
              <w:spacing w:line="240" w:lineRule="auto" w:after="0" w:before="0"/>
              <w:ind w:firstLine="0"/>
              <w:jc w:val="left"/>
            </w:pPr>
            <w:r/>
            <w:r>
              <w:rPr>
                <w:b w:val="0"/>
                <w:sz w:val="16"/>
              </w:rPr>
              <w:t>Italy</w:t>
            </w:r>
          </w:p>
        </w:tc>
        <w:tc>
          <w:tcPr>
            <w:tcW w:type="dxa" w:w="1170"/>
          </w:tcPr>
          <w:p>
            <w:pPr>
              <w:spacing w:line="240" w:lineRule="auto" w:after="0" w:before="0"/>
              <w:ind w:firstLine="0"/>
              <w:jc w:val="left"/>
            </w:pPr>
            <w:r/>
            <w:r>
              <w:rPr>
                <w:b w:val="0"/>
                <w:sz w:val="16"/>
              </w:rPr>
              <w:t>NO₃, Sr</w:t>
            </w:r>
          </w:p>
        </w:tc>
        <w:tc>
          <w:tcPr>
            <w:tcW w:type="dxa" w:w="1170"/>
          </w:tcPr>
          <w:p>
            <w:pPr>
              <w:spacing w:line="240" w:lineRule="auto" w:after="0" w:before="0"/>
              <w:ind w:firstLine="0"/>
              <w:jc w:val="left"/>
            </w:pPr>
            <w:r/>
            <w:r>
              <w:rPr>
                <w:b w:val="0"/>
                <w:sz w:val="16"/>
              </w:rPr>
              <w:t>Laboratory water quality variables</w:t>
            </w:r>
          </w:p>
        </w:tc>
        <w:tc>
          <w:tcPr>
            <w:tcW w:type="dxa" w:w="1170"/>
          </w:tcPr>
          <w:p>
            <w:pPr>
              <w:spacing w:line="240" w:lineRule="auto" w:after="0" w:before="0"/>
              <w:ind w:firstLine="0"/>
              <w:jc w:val="left"/>
            </w:pPr>
            <w:r/>
            <w:r>
              <w:rPr>
                <w:b w:val="0"/>
                <w:sz w:val="16"/>
              </w:rPr>
              <w:t>Holdout (173/73)</w:t>
            </w:r>
          </w:p>
        </w:tc>
        <w:tc>
          <w:tcPr>
            <w:tcW w:type="dxa" w:w="1170"/>
          </w:tcPr>
          <w:p>
            <w:pPr>
              <w:spacing w:line="240" w:lineRule="auto" w:after="0" w:before="0"/>
              <w:ind w:firstLine="0"/>
              <w:jc w:val="left"/>
            </w:pPr>
            <w:r/>
            <w:r>
              <w:rPr>
                <w:b w:val="0"/>
                <w:sz w:val="16"/>
              </w:rPr>
              <w:t>None</w:t>
            </w:r>
          </w:p>
        </w:tc>
        <w:tc>
          <w:tcPr>
            <w:tcW w:type="dxa" w:w="1170"/>
          </w:tcPr>
          <w:p>
            <w:pPr>
              <w:spacing w:line="240" w:lineRule="auto" w:after="0" w:before="0"/>
              <w:ind w:firstLine="0"/>
              <w:jc w:val="left"/>
            </w:pPr>
            <w:r/>
            <w:r>
              <w:rPr>
                <w:b w:val="0"/>
                <w:sz w:val="16"/>
              </w:rPr>
              <w:t>n.r.</w:t>
            </w:r>
          </w:p>
        </w:tc>
        <w:tc>
          <w:tcPr>
            <w:tcW w:type="dxa" w:w="1170"/>
          </w:tcPr>
          <w:p>
            <w:pPr>
              <w:spacing w:line="240" w:lineRule="auto" w:after="0" w:before="0"/>
              <w:ind w:firstLine="0"/>
              <w:jc w:val="left"/>
            </w:pPr>
            <w:r/>
            <w:r>
              <w:rPr>
                <w:b w:val="0"/>
                <w:sz w:val="16"/>
              </w:rPr>
              <w:t>Abstract</w:t>
            </w:r>
          </w:p>
        </w:tc>
      </w:tr>
      <w:tr>
        <w:tc>
          <w:tcPr>
            <w:tcW w:type="dxa" w:w="1170"/>
          </w:tcPr>
          <w:p>
            <w:pPr>
              <w:spacing w:line="240" w:lineRule="auto" w:after="0" w:before="0"/>
              <w:ind w:firstLine="0"/>
              <w:jc w:val="left"/>
            </w:pPr>
            <w:r/>
            <w:r>
              <w:rPr>
                <w:b/>
                <w:sz w:val="16"/>
              </w:rPr>
              <w:t>This study</w:t>
            </w:r>
          </w:p>
        </w:tc>
        <w:tc>
          <w:tcPr>
            <w:tcW w:type="dxa" w:w="1170"/>
          </w:tcPr>
          <w:p>
            <w:pPr>
              <w:spacing w:line="240" w:lineRule="auto" w:after="0" w:before="0"/>
              <w:ind w:firstLine="0"/>
              <w:jc w:val="left"/>
            </w:pPr>
            <w:r/>
            <w:r>
              <w:rPr>
                <w:b/>
                <w:sz w:val="16"/>
              </w:rPr>
              <w:t>Bengal Basin, BGS/DPHE</w:t>
            </w:r>
          </w:p>
        </w:tc>
        <w:tc>
          <w:tcPr>
            <w:tcW w:type="dxa" w:w="1170"/>
          </w:tcPr>
          <w:p>
            <w:pPr>
              <w:spacing w:line="240" w:lineRule="auto" w:after="0" w:before="0"/>
              <w:ind w:firstLine="0"/>
              <w:jc w:val="left"/>
            </w:pPr>
            <w:r/>
            <w:r>
              <w:rPr>
                <w:b/>
                <w:sz w:val="16"/>
              </w:rPr>
              <w:t>13 trace metals screened, 7 modelled</w:t>
            </w:r>
          </w:p>
        </w:tc>
        <w:tc>
          <w:tcPr>
            <w:tcW w:type="dxa" w:w="1170"/>
          </w:tcPr>
          <w:p>
            <w:pPr>
              <w:spacing w:line="240" w:lineRule="auto" w:after="0" w:before="0"/>
              <w:ind w:firstLine="0"/>
              <w:jc w:val="left"/>
            </w:pPr>
            <w:r/>
            <w:r>
              <w:rPr>
                <w:b/>
                <w:sz w:val="16"/>
              </w:rPr>
              <w:t>Field measurable, tiered by cost</w:t>
            </w:r>
          </w:p>
        </w:tc>
        <w:tc>
          <w:tcPr>
            <w:tcW w:type="dxa" w:w="1170"/>
          </w:tcPr>
          <w:p>
            <w:pPr>
              <w:spacing w:line="240" w:lineRule="auto" w:after="0" w:before="0"/>
              <w:ind w:firstLine="0"/>
              <w:jc w:val="left"/>
            </w:pPr>
            <w:r/>
            <w:r>
              <w:rPr>
                <w:b/>
                <w:sz w:val="16"/>
              </w:rPr>
              <w:t>Random, spatially blocked and external</w:t>
            </w:r>
          </w:p>
        </w:tc>
        <w:tc>
          <w:tcPr>
            <w:tcW w:type="dxa" w:w="1170"/>
          </w:tcPr>
          <w:p>
            <w:pPr>
              <w:spacing w:line="240" w:lineRule="auto" w:after="0" w:before="0"/>
              <w:ind w:firstLine="0"/>
              <w:jc w:val="left"/>
            </w:pPr>
            <w:r/>
            <w:r>
              <w:rPr>
                <w:b/>
                <w:sz w:val="16"/>
              </w:rPr>
              <w:t>Conformal, with transfer tested</w:t>
            </w:r>
          </w:p>
        </w:tc>
        <w:tc>
          <w:tcPr>
            <w:tcW w:type="dxa" w:w="1170"/>
          </w:tcPr>
          <w:p>
            <w:pPr>
              <w:spacing w:line="240" w:lineRule="auto" w:after="0" w:before="0"/>
              <w:ind w:firstLine="0"/>
              <w:jc w:val="left"/>
            </w:pPr>
            <w:r/>
            <w:r>
              <w:rPr>
                <w:b/>
                <w:sz w:val="16"/>
              </w:rPr>
              <w:t>Four treatments compared</w:t>
            </w:r>
          </w:p>
        </w:tc>
        <w:tc>
          <w:tcPr>
            <w:tcW w:type="dxa" w:w="1170"/>
          </w:tcPr>
          <w:p>
            <w:pPr>
              <w:spacing w:line="240" w:lineRule="auto" w:after="0" w:before="0"/>
              <w:ind w:firstLine="0"/>
              <w:jc w:val="left"/>
            </w:pPr>
            <w:r/>
            <w:r>
              <w:rPr>
                <w:b/>
                <w:sz w:val="16"/>
              </w:rPr>
              <w:t>—</w:t>
            </w:r>
          </w:p>
        </w:tc>
      </w:tr>
    </w:tbl>
    <w:p>
      <w:pPr/>
    </w:p>
    <w:p>
      <w:pPr/>
      <w:r>
        <w:t>Counting across the thirteen prior studies summarised in Table 1 gives the following picture.</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after="0" w:before="0"/>
              <w:ind w:firstLine="0"/>
              <w:jc w:val="left"/>
            </w:pPr>
            <w:r/>
            <w:r>
              <w:rPr>
                <w:b/>
                <w:sz w:val="18"/>
              </w:rPr>
              <w:t>Property</w:t>
            </w:r>
          </w:p>
        </w:tc>
        <w:tc>
          <w:tcPr>
            <w:tcW w:type="dxa" w:w="3120"/>
          </w:tcPr>
          <w:p>
            <w:pPr>
              <w:spacing w:line="240" w:lineRule="auto" w:after="0" w:before="0"/>
              <w:ind w:firstLine="0"/>
              <w:jc w:val="left"/>
            </w:pPr>
            <w:r/>
            <w:r>
              <w:rPr>
                <w:b/>
                <w:sz w:val="18"/>
              </w:rPr>
              <w:t>Studies</w:t>
            </w:r>
          </w:p>
        </w:tc>
        <w:tc>
          <w:tcPr>
            <w:tcW w:type="dxa" w:w="3120"/>
          </w:tcPr>
          <w:p>
            <w:pPr>
              <w:spacing w:line="240" w:lineRule="auto" w:after="0" w:before="0"/>
              <w:ind w:firstLine="0"/>
              <w:jc w:val="left"/>
            </w:pPr>
            <w:r/>
            <w:r>
              <w:rPr>
                <w:b/>
                <w:sz w:val="18"/>
              </w:rPr>
              <w:t>Share</w:t>
            </w:r>
          </w:p>
        </w:tc>
      </w:tr>
      <w:tr>
        <w:tc>
          <w:tcPr>
            <w:tcW w:type="dxa" w:w="3120"/>
          </w:tcPr>
          <w:p>
            <w:pPr>
              <w:spacing w:line="240" w:lineRule="auto" w:after="0" w:before="0"/>
              <w:ind w:firstLine="0"/>
              <w:jc w:val="left"/>
            </w:pPr>
            <w:r/>
            <w:r>
              <w:rPr>
                <w:b w:val="0"/>
                <w:sz w:val="18"/>
              </w:rPr>
              <w:t>Predict a single metal</w:t>
            </w:r>
          </w:p>
        </w:tc>
        <w:tc>
          <w:tcPr>
            <w:tcW w:type="dxa" w:w="3120"/>
          </w:tcPr>
          <w:p>
            <w:pPr>
              <w:spacing w:line="240" w:lineRule="auto" w:after="0" w:before="0"/>
              <w:ind w:firstLine="0"/>
              <w:jc w:val="left"/>
            </w:pPr>
            <w:r/>
            <w:r>
              <w:rPr>
                <w:b w:val="0"/>
                <w:sz w:val="18"/>
              </w:rPr>
              <w:t>9 of 13</w:t>
            </w:r>
          </w:p>
        </w:tc>
        <w:tc>
          <w:tcPr>
            <w:tcW w:type="dxa" w:w="3120"/>
          </w:tcPr>
          <w:p>
            <w:pPr>
              <w:spacing w:line="240" w:lineRule="auto" w:after="0" w:before="0"/>
              <w:ind w:firstLine="0"/>
              <w:jc w:val="left"/>
            </w:pPr>
            <w:r/>
            <w:r>
              <w:rPr>
                <w:b w:val="0"/>
                <w:sz w:val="18"/>
              </w:rPr>
              <w:t>69 %</w:t>
            </w:r>
          </w:p>
        </w:tc>
      </w:tr>
      <w:tr>
        <w:tc>
          <w:tcPr>
            <w:tcW w:type="dxa" w:w="3120"/>
          </w:tcPr>
          <w:p>
            <w:pPr>
              <w:spacing w:line="240" w:lineRule="auto" w:after="0" w:before="0"/>
              <w:ind w:firstLine="0"/>
              <w:jc w:val="left"/>
            </w:pPr>
            <w:r/>
            <w:r>
              <w:rPr>
                <w:b w:val="0"/>
                <w:sz w:val="18"/>
              </w:rPr>
              <w:t>Use only geospatial or locational predictors</w:t>
            </w:r>
          </w:p>
        </w:tc>
        <w:tc>
          <w:tcPr>
            <w:tcW w:type="dxa" w:w="3120"/>
          </w:tcPr>
          <w:p>
            <w:pPr>
              <w:spacing w:line="240" w:lineRule="auto" w:after="0" w:before="0"/>
              <w:ind w:firstLine="0"/>
              <w:jc w:val="left"/>
            </w:pPr>
            <w:r/>
            <w:r>
              <w:rPr>
                <w:b w:val="0"/>
                <w:sz w:val="18"/>
              </w:rPr>
              <w:t>7 of 13</w:t>
            </w:r>
          </w:p>
        </w:tc>
        <w:tc>
          <w:tcPr>
            <w:tcW w:type="dxa" w:w="3120"/>
          </w:tcPr>
          <w:p>
            <w:pPr>
              <w:spacing w:line="240" w:lineRule="auto" w:after="0" w:before="0"/>
              <w:ind w:firstLine="0"/>
              <w:jc w:val="left"/>
            </w:pPr>
            <w:r/>
            <w:r>
              <w:rPr>
                <w:b w:val="0"/>
                <w:sz w:val="18"/>
              </w:rPr>
              <w:t>54 %</w:t>
            </w:r>
          </w:p>
        </w:tc>
      </w:tr>
      <w:tr>
        <w:tc>
          <w:tcPr>
            <w:tcW w:type="dxa" w:w="3120"/>
          </w:tcPr>
          <w:p>
            <w:pPr>
              <w:spacing w:line="240" w:lineRule="auto" w:after="0" w:before="0"/>
              <w:ind w:firstLine="0"/>
              <w:jc w:val="left"/>
            </w:pPr>
            <w:r/>
            <w:r>
              <w:rPr>
                <w:b w:val="0"/>
                <w:sz w:val="18"/>
              </w:rPr>
              <w:t>Use any laboratory-measured predictor</w:t>
            </w:r>
          </w:p>
        </w:tc>
        <w:tc>
          <w:tcPr>
            <w:tcW w:type="dxa" w:w="3120"/>
          </w:tcPr>
          <w:p>
            <w:pPr>
              <w:spacing w:line="240" w:lineRule="auto" w:after="0" w:before="0"/>
              <w:ind w:firstLine="0"/>
              <w:jc w:val="left"/>
            </w:pPr>
            <w:r/>
            <w:r>
              <w:rPr>
                <w:b w:val="0"/>
                <w:sz w:val="18"/>
              </w:rPr>
              <w:t>5 of 13</w:t>
            </w:r>
          </w:p>
        </w:tc>
        <w:tc>
          <w:tcPr>
            <w:tcW w:type="dxa" w:w="3120"/>
          </w:tcPr>
          <w:p>
            <w:pPr>
              <w:spacing w:line="240" w:lineRule="auto" w:after="0" w:before="0"/>
              <w:ind w:firstLine="0"/>
              <w:jc w:val="left"/>
            </w:pPr>
            <w:r/>
            <w:r>
              <w:rPr>
                <w:b w:val="0"/>
                <w:sz w:val="18"/>
              </w:rPr>
              <w:t>38 %</w:t>
            </w:r>
          </w:p>
        </w:tc>
      </w:tr>
      <w:tr>
        <w:tc>
          <w:tcPr>
            <w:tcW w:type="dxa" w:w="3120"/>
          </w:tcPr>
          <w:p>
            <w:pPr>
              <w:spacing w:line="240" w:lineRule="auto" w:after="0" w:before="0"/>
              <w:ind w:firstLine="0"/>
              <w:jc w:val="left"/>
            </w:pPr>
            <w:r/>
            <w:r>
              <w:rPr>
                <w:b w:val="0"/>
                <w:sz w:val="18"/>
              </w:rPr>
              <w:t>Use only field measurable predictors</w:t>
            </w:r>
          </w:p>
        </w:tc>
        <w:tc>
          <w:tcPr>
            <w:tcW w:type="dxa" w:w="3120"/>
          </w:tcPr>
          <w:p>
            <w:pPr>
              <w:spacing w:line="240" w:lineRule="auto" w:after="0" w:before="0"/>
              <w:ind w:firstLine="0"/>
              <w:jc w:val="left"/>
            </w:pPr>
            <w:r/>
            <w:r>
              <w:rPr>
                <w:b w:val="0"/>
                <w:sz w:val="18"/>
              </w:rPr>
              <w:t>0 of 13</w:t>
            </w:r>
          </w:p>
        </w:tc>
        <w:tc>
          <w:tcPr>
            <w:tcW w:type="dxa" w:w="3120"/>
          </w:tcPr>
          <w:p>
            <w:pPr>
              <w:spacing w:line="240" w:lineRule="auto" w:after="0" w:before="0"/>
              <w:ind w:firstLine="0"/>
              <w:jc w:val="left"/>
            </w:pPr>
            <w:r/>
            <w:r>
              <w:rPr>
                <w:b w:val="0"/>
                <w:sz w:val="18"/>
              </w:rPr>
              <w:t>0 %</w:t>
            </w:r>
          </w:p>
        </w:tc>
      </w:tr>
      <w:tr>
        <w:tc>
          <w:tcPr>
            <w:tcW w:type="dxa" w:w="3120"/>
          </w:tcPr>
          <w:p>
            <w:pPr>
              <w:spacing w:line="240" w:lineRule="auto" w:after="0" w:before="0"/>
              <w:ind w:firstLine="0"/>
              <w:jc w:val="left"/>
            </w:pPr>
            <w:r/>
            <w:r>
              <w:rPr>
                <w:b w:val="0"/>
                <w:sz w:val="18"/>
              </w:rPr>
              <w:t>Report spatially blocked validation</w:t>
            </w:r>
          </w:p>
        </w:tc>
        <w:tc>
          <w:tcPr>
            <w:tcW w:type="dxa" w:w="3120"/>
          </w:tcPr>
          <w:p>
            <w:pPr>
              <w:spacing w:line="240" w:lineRule="auto" w:after="0" w:before="0"/>
              <w:ind w:firstLine="0"/>
              <w:jc w:val="left"/>
            </w:pPr>
            <w:r/>
            <w:r>
              <w:rPr>
                <w:b w:val="0"/>
                <w:sz w:val="18"/>
              </w:rPr>
              <w:t>0 of 13</w:t>
            </w:r>
          </w:p>
        </w:tc>
        <w:tc>
          <w:tcPr>
            <w:tcW w:type="dxa" w:w="3120"/>
          </w:tcPr>
          <w:p>
            <w:pPr>
              <w:spacing w:line="240" w:lineRule="auto" w:after="0" w:before="0"/>
              <w:ind w:firstLine="0"/>
              <w:jc w:val="left"/>
            </w:pPr>
            <w:r/>
            <w:r>
              <w:rPr>
                <w:b w:val="0"/>
                <w:sz w:val="18"/>
              </w:rPr>
              <w:t>0 %</w:t>
            </w:r>
          </w:p>
        </w:tc>
      </w:tr>
      <w:tr>
        <w:tc>
          <w:tcPr>
            <w:tcW w:type="dxa" w:w="3120"/>
          </w:tcPr>
          <w:p>
            <w:pPr>
              <w:spacing w:line="240" w:lineRule="auto" w:after="0" w:before="0"/>
              <w:ind w:firstLine="0"/>
              <w:jc w:val="left"/>
            </w:pPr>
            <w:r/>
            <w:r>
              <w:rPr>
                <w:b w:val="0"/>
                <w:sz w:val="18"/>
              </w:rPr>
              <w:t>Test on an independent set beyond the training domain</w:t>
            </w:r>
          </w:p>
        </w:tc>
        <w:tc>
          <w:tcPr>
            <w:tcW w:type="dxa" w:w="3120"/>
          </w:tcPr>
          <w:p>
            <w:pPr>
              <w:spacing w:line="240" w:lineRule="auto" w:after="0" w:before="0"/>
              <w:ind w:firstLine="0"/>
              <w:jc w:val="left"/>
            </w:pPr>
            <w:r/>
            <w:r>
              <w:rPr>
                <w:b w:val="0"/>
                <w:sz w:val="18"/>
              </w:rPr>
              <w:t>1 of 13ᵃ</w:t>
            </w:r>
          </w:p>
        </w:tc>
        <w:tc>
          <w:tcPr>
            <w:tcW w:type="dxa" w:w="3120"/>
          </w:tcPr>
          <w:p>
            <w:pPr>
              <w:spacing w:line="240" w:lineRule="auto" w:after="0" w:before="0"/>
              <w:ind w:firstLine="0"/>
              <w:jc w:val="left"/>
            </w:pPr>
            <w:r/>
            <w:r>
              <w:rPr>
                <w:b w:val="0"/>
                <w:sz w:val="18"/>
              </w:rPr>
              <w:t>8 %</w:t>
            </w:r>
          </w:p>
        </w:tc>
      </w:tr>
      <w:tr>
        <w:tc>
          <w:tcPr>
            <w:tcW w:type="dxa" w:w="3120"/>
          </w:tcPr>
          <w:p>
            <w:pPr>
              <w:spacing w:line="240" w:lineRule="auto" w:after="0" w:before="0"/>
              <w:ind w:firstLine="0"/>
              <w:jc w:val="left"/>
            </w:pPr>
            <w:r/>
            <w:r>
              <w:rPr>
                <w:b w:val="0"/>
                <w:sz w:val="18"/>
              </w:rPr>
              <w:t>Report per-well intervals with evaluated coverage</w:t>
            </w:r>
          </w:p>
        </w:tc>
        <w:tc>
          <w:tcPr>
            <w:tcW w:type="dxa" w:w="3120"/>
          </w:tcPr>
          <w:p>
            <w:pPr>
              <w:spacing w:line="240" w:lineRule="auto" w:after="0" w:before="0"/>
              <w:ind w:firstLine="0"/>
              <w:jc w:val="left"/>
            </w:pPr>
            <w:r/>
            <w:r>
              <w:rPr>
                <w:b w:val="0"/>
                <w:sz w:val="18"/>
              </w:rPr>
              <w:t>0 of 13</w:t>
            </w:r>
          </w:p>
        </w:tc>
        <w:tc>
          <w:tcPr>
            <w:tcW w:type="dxa" w:w="3120"/>
          </w:tcPr>
          <w:p>
            <w:pPr>
              <w:spacing w:line="240" w:lineRule="auto" w:after="0" w:before="0"/>
              <w:ind w:firstLine="0"/>
              <w:jc w:val="left"/>
            </w:pPr>
            <w:r/>
            <w:r>
              <w:rPr>
                <w:b w:val="0"/>
                <w:sz w:val="18"/>
              </w:rPr>
              <w:t>0 %</w:t>
            </w:r>
          </w:p>
        </w:tc>
      </w:tr>
      <w:tr>
        <w:tc>
          <w:tcPr>
            <w:tcW w:type="dxa" w:w="3120"/>
          </w:tcPr>
          <w:p>
            <w:pPr>
              <w:spacing w:line="240" w:lineRule="auto" w:after="0" w:before="0"/>
              <w:ind w:firstLine="0"/>
              <w:jc w:val="left"/>
            </w:pPr>
            <w:r/>
            <w:r>
              <w:rPr>
                <w:b w:val="0"/>
                <w:sz w:val="18"/>
              </w:rPr>
              <w:t>Binarise the target or predict a class</w:t>
            </w:r>
          </w:p>
        </w:tc>
        <w:tc>
          <w:tcPr>
            <w:tcW w:type="dxa" w:w="3120"/>
          </w:tcPr>
          <w:p>
            <w:pPr>
              <w:spacing w:line="240" w:lineRule="auto" w:after="0" w:before="0"/>
              <w:ind w:firstLine="0"/>
              <w:jc w:val="left"/>
            </w:pPr>
            <w:r/>
            <w:r>
              <w:rPr>
                <w:b w:val="0"/>
                <w:sz w:val="18"/>
              </w:rPr>
              <w:t>7 of 13</w:t>
            </w:r>
          </w:p>
        </w:tc>
        <w:tc>
          <w:tcPr>
            <w:tcW w:type="dxa" w:w="3120"/>
          </w:tcPr>
          <w:p>
            <w:pPr>
              <w:spacing w:line="240" w:lineRule="auto" w:after="0" w:before="0"/>
              <w:ind w:firstLine="0"/>
              <w:jc w:val="left"/>
            </w:pPr>
            <w:r/>
            <w:r>
              <w:rPr>
                <w:b w:val="0"/>
                <w:sz w:val="18"/>
              </w:rPr>
              <w:t>54 %</w:t>
            </w:r>
          </w:p>
        </w:tc>
      </w:tr>
      <w:tr>
        <w:tc>
          <w:tcPr>
            <w:tcW w:type="dxa" w:w="3120"/>
          </w:tcPr>
          <w:p>
            <w:pPr>
              <w:spacing w:line="240" w:lineRule="auto" w:after="0" w:before="0"/>
              <w:ind w:firstLine="0"/>
              <w:jc w:val="left"/>
            </w:pPr>
            <w:r/>
            <w:r>
              <w:rPr>
                <w:b w:val="0"/>
                <w:sz w:val="18"/>
              </w:rPr>
              <w:t>Of six concentration models, state a below-DL treatment</w:t>
            </w:r>
          </w:p>
        </w:tc>
        <w:tc>
          <w:tcPr>
            <w:tcW w:type="dxa" w:w="3120"/>
          </w:tcPr>
          <w:p>
            <w:pPr>
              <w:spacing w:line="240" w:lineRule="auto" w:after="0" w:before="0"/>
              <w:ind w:firstLine="0"/>
              <w:jc w:val="left"/>
            </w:pPr>
            <w:r/>
            <w:r>
              <w:rPr>
                <w:b w:val="0"/>
                <w:sz w:val="18"/>
              </w:rPr>
              <w:t>0 of 6ᵇ</w:t>
            </w:r>
          </w:p>
        </w:tc>
        <w:tc>
          <w:tcPr>
            <w:tcW w:type="dxa" w:w="3120"/>
          </w:tcPr>
          <w:p>
            <w:pPr>
              <w:spacing w:line="240" w:lineRule="auto" w:after="0" w:before="0"/>
              <w:ind w:firstLine="0"/>
              <w:jc w:val="left"/>
            </w:pPr>
            <w:r/>
            <w:r>
              <w:rPr>
                <w:b w:val="0"/>
                <w:sz w:val="18"/>
              </w:rPr>
              <w:t>0 %</w:t>
            </w:r>
          </w:p>
        </w:tc>
      </w:tr>
    </w:tbl>
    <w:p>
      <w:pPr>
        <w:spacing w:line="240" w:lineRule="auto"/>
      </w:pPr>
      <w:r>
        <w:rPr>
          <w:sz w:val="16"/>
        </w:rPr>
        <w:t>ᵃ Podgorski and Berg (2020) tested on wells deeper than 100 m, which were excluded from training. ᵇ Shamsudduha et al. (2015) acknowledge non-detects; the treatment was not identified in the source consulted.</w:t>
      </w:r>
    </w:p>
    <w:p>
      <w:pPr/>
      <w:r>
        <w:t>Two qualifications are owed. First, each entry reflects the source consulted. Where only the abstract was accessible, absence of a design element means that it was not reported there, not that it was necessarily absent from the study. Second, for the seven studies that predict an exceedance class, the treatment of values below the detection limit is of limited consequence for their stated objective, and three of them make this choice explicitly. The omission matters for the six studies that model concentration directly. Of these, one acknowledges the presence of non-detects and none, in the sources consulted, states how they were treated.</w:t>
      </w:r>
    </w:p>
    <w:p>
      <w:pPr/>
      <w:r>
        <w:t>The broader pattern is nonetheless consistent. Predictive work on trace metals in groundwater has concentrated on mapping a single analyte from geospatial covariates, has validated on random or simple holdout partitions, has reported class probabilities or intervals without a coverage guarantee, and has handled observations below the detection limit either by binarising the target or not at all. None of these choices is indefensible in isolation, and several are appropriate to the questions those studies set themselves. Taken together, however, they leave open precisely the questions posed here, namely whether field measurable parameters can substitute for laboratory analysis across several metals at once, how much of the reported skill survives honest spatial and external validation, and whether uncertainty can be quantified in a manner that remains valid outside the area in which it was calibrated.</w:t>
      </w:r>
    </w:p>
    <w:p>
      <w:pPr/>
      <w:r>
        <w:t>The present study addresses the question these literatures leave open. Stated directly, that question is the following.</w:t>
      </w:r>
    </w:p>
    <w:p>
      <w:pPr/>
      <w:r>
        <w:rPr>
          <w:b/>
          <w:i/>
        </w:rPr>
        <w:t>Which trace metals in groundwater can be predicted from parameters that are inexpensive to measure in the field, at what measurement cost, and what determines the limit of that predictability?</w:t>
      </w:r>
    </w:p>
    <w:p>
      <w:pPr/>
      <w:r>
        <w:t>The question is approached through four subsidiary questions, each corresponding to a stage of the analysis reported below.</w:t>
      </w:r>
    </w:p>
    <w:p>
      <w:pPr/>
      <w:r>
        <w:rPr>
          <w:b/>
        </w:rPr>
        <w:t>RQ1.</w:t>
      </w:r>
      <w:r>
        <w:t xml:space="preserve"> Which of the trace metals present in the dataset carry sufficient measurable variation to permit modelling at all, and what distinguishes those that do from those that do not?</w:t>
      </w:r>
    </w:p>
    <w:p>
      <w:pPr/>
      <w:r>
        <w:rPr>
          <w:b/>
        </w:rPr>
        <w:t>RQ2.</w:t>
      </w:r>
      <w:r>
        <w:t xml:space="preserve"> For the metals that pass that screening, how much predictive skill do field measurable parameters provide, and how does that skill scale with the cost of acquiring the measurements?</w:t>
      </w:r>
    </w:p>
    <w:p>
      <w:pPr/>
      <w:r>
        <w:rPr>
          <w:b/>
        </w:rPr>
        <w:t>RQ3.</w:t>
      </w:r>
      <w:r>
        <w:t xml:space="preserve"> Can conformal prediction furnish calibrated uncertainty intervals at this sample size, and does their validity survive transfer to wells outside the area in which they were calibrated?</w:t>
      </w:r>
    </w:p>
    <w:p>
      <w:pPr/>
      <w:r>
        <w:rPr>
          <w:b/>
        </w:rPr>
        <w:t>RQ4.</w:t>
      </w:r>
      <w:r>
        <w:t xml:space="preserve"> To what extent does the prevailing practice of substituting half the detection limit distort the conclusions relative to censoring aware alternatives?</w:t>
      </w:r>
    </w:p>
    <w:p>
      <w:pPr/>
      <w:commentRangeStart w:id="4"/>
      <w:r>
        <w:t>Underlying these questions is a testable hypothesis, namely that the binding constraint on surrogate screening is analytical rather than geochemical, that is, that detection limits rather than geochemical predictability determine which metals admit such screening.</w:t>
      </w:r>
      <w:commentRangeEnd w:id="4"/>
      <w:r>
        <w:rPr>
          <w:rStyle w:val="CommentReference"/>
        </w:rPr>
        <w:commentReference w:id="4"/>
      </w:r>
      <w:r>
        <w:t xml:space="preserve"> The hypothesis is falsifiable in that it predicts that metals with low censoring should prove modellable irrespective of their geochemical behaviour, and that heavily censored metals should prove unmodellable irrespective of how strongly they are controlled by the measured field parameters.</w:t>
      </w:r>
    </w:p>
    <w:p>
      <w:pPr/>
      <w:r>
        <w:t>To this end the study employs 271 wells from the special study areas of the British Geological Survey and Department of Public Health Engineering national survey [1], the only component of that survey carrying field measured pH, redox potential, specific conductance, dissolved oxygen and dissolved organic carbon alongside a laboratory trace metal suite. Candidate predictors are organised into tiers reflecting what their acquisition actually costs, ranging from a multiparameter field meter alone through the successive addition of colorimetric test kits and titrimetric determinations, so that predictive performance may be read against expenditure.</w:t>
      </w:r>
    </w:p>
    <w:p>
      <w:pPr/>
      <w:r>
        <w:t xml:space="preserve">This study proposes four contributions, each addressing one of the questions set out above. First, and in answer to RQ1, it reports a multi metal feasibility audit in which thirteen metals are screened against pre specified criteria, seven are carried into modelling and six are excluded because censoring leaves insufficient information for any method to exploit. Negative results are reported rather than omitted. Second, addressing RQ2, it reports predictive performance across cost tiers under random, spatially blocked and fully external validation side by side, rendering visible the proportion of apparent skill attributable to spatial autocorrelation rather than to chemistry. Third, addressing RQ3, it evaluates conformal prediction intervals on held out partitions rather than on the residuals used to calibrate them, and then </w:t>
      </w:r>
      <w:commentRangeStart w:id="5"/>
      <w:r>
        <w:t>examines how far their validity transfers to 1,027 independent wells situated in fifteen districts the models never encountered</w:t>
      </w:r>
      <w:commentRangeEnd w:id="5"/>
      <w:r>
        <w:rPr>
          <w:rStyle w:val="CommentReference"/>
        </w:rPr>
        <w:commentReference w:id="5"/>
      </w:r>
      <w:r>
        <w:t>. Fourth, addressing RQ4, it quantifies the cost of standard practice by comparing substitution of half the detection limit against censoring aware alternatives evaluated on identical folds.</w:t>
      </w:r>
    </w:p>
    <w:p>
      <w:pPr/>
      <w:r>
        <w:t>The principal finding is that surrogate screening is feasible for a minority of trace metals, that the metals for which it succeeds are not those posing the greatest health risk in this setting, and that conformal intervals which are well calibrated within the study area lose their validity in an unpredictable manner upon transfer.</w:t>
      </w:r>
    </w:p>
    <w:p>
      <w:pPr>
        <w:pStyle w:val="Heading2"/>
      </w:pPr>
      <w:r>
        <w:t>References</w:t>
      </w:r>
    </w:p>
    <w:p>
      <w:pPr/>
      <w:r>
        <w:t>[1] BGS and DPHE (2001) Arsenic contamination of groundwater in Bangladesh. Kinniburgh DG, Smedley PL (eds). British Geological Survey Technical Report WC/00/19, Keyworth.</w:t>
      </w:r>
    </w:p>
    <w:p>
      <w:pPr/>
      <w:r>
        <w:t>[2] Fendorf S, Michael HA, van Geen A (2010) Spatial and temporal variations of groundwater arsenic in South and Southeast Asia. Science 328(5982):1123-1127. https://doi.org/10.1126/science.1172974</w:t>
      </w:r>
    </w:p>
    <w:p>
      <w:pPr/>
      <w:r>
        <w:t>[3] Podgorski J, Berg M (2020) Global threat of arsenic in groundwater. Science 368(6493):845-850. https://doi.org/10.1126/science.aba1510</w:t>
      </w:r>
    </w:p>
    <w:p>
      <w:pPr/>
      <w:r>
        <w:t>[4] Deeba F, Rahman SH, Kabir MZ, Dina NT, Das SC, Sultana S, Ahmed FT (2021) Heavy metals distribution and contamination in groundwater of the south eastern coastal area of Bangladesh. Journal of Water and Environment Technology 19(5):267-282. https://doi.org/10.2965/jwet.20-169</w:t>
      </w:r>
    </w:p>
    <w:p>
      <w:pPr/>
      <w:r>
        <w:t>[5] Brindha K, Paul R, Walter J, Tan ML, Singh MK (2020) Trace metals contamination in groundwater and implications on human health: comprehensive assessment using hydrogeochemical and geostatistical methods. Environmental Geochemistry and Health 42(11):3819-3839. https://doi.org/10.1007/s10653-020-00637-9</w:t>
      </w:r>
    </w:p>
    <w:p>
      <w:pPr/>
      <w:r>
        <w:t>[6] Uddin MG, Diganta MTM, Sajib AM, Hasan MA, Moniruzzaman M, Rahman A, Olbert AI, Moniruzzaman M (2023) Assessment of hydrogeochemistry in groundwater using water quality index model and indices approaches. Heliyon 9(9):e19668. https://doi.org/10.1016/j.heliyon.2023.e19668</w:t>
      </w:r>
    </w:p>
    <w:p>
      <w:pPr/>
      <w:r>
        <w:t>[7] Islam MS, Ahmed MK, Al Bakky A, Ismail Z, Ibrahim KA, Idris AM (2025) Assessing chemical properties and heavy metals in groundwater resources in a developing country: a baseline study. Scientific Reports 15(1). https://doi.org/10.1038/s41598-025-15128-z</w:t>
      </w:r>
    </w:p>
    <w:p>
      <w:pPr/>
      <w:r>
        <w:t>[8] Ullah Z, Rashid A, Ghani J, Nawab J, Zeng XC, Shah M, Alrefaei AF, Kamel M, Aleya L, Abdel-Daim MM, Iqbal J (2022) Groundwater contamination through potentially harmful metals and its implications in groundwater management. Frontiers in Environmental Science 10:1021596. https://doi.org/10.3389/fenvs.2022.1021596</w:t>
      </w:r>
    </w:p>
    <w:p>
      <w:pPr/>
      <w:r>
        <w:t>[9] Nag SK, Das S (2017) Assessment of groundwater quality from Bankura I and II Blocks, Bankura District, West Bengal, India. Applied Water Science 7(6):2787-2802. https://doi.org/10.1007/s13201-017-0530-8</w:t>
      </w:r>
    </w:p>
    <w:p>
      <w:pPr/>
      <w:r>
        <w:t>[10] Upadhyaya D, Survaiya MD, Basha S, Mandal SK, Thorat RB, Haldar S, Goel S, Dave H, Baxi K, Trivedi RH, Mody KH (2013) Occurrence and distribution of selected heavy metals and boron in groundwater of the Gulf of Khambhat region, Gujarat, India. Environmental Science and Pollution Research 21(5):3880-3890. https://doi.org/10.1007/s11356-013-2376-4</w:t>
      </w:r>
    </w:p>
    <w:p>
      <w:pPr/>
      <w:r>
        <w:t>[11] Nickson R, McArthur J, Burgess W, Ahmed KM, Ravenscroft P, Rahman M (1998) Arsenic poisoning of Bangladesh groundwater. Nature 395(6700):338. https://doi.org/10.1038/26387</w:t>
      </w:r>
    </w:p>
    <w:p>
      <w:pPr/>
      <w:r>
        <w:t>[12] Nickson RT, McArthur JM, Ravenscroft P, Burgess WG, Ahmed KM (2000) Mechanism of arsenic release to groundwater, Bangladesh and West Bengal. Applied Geochemistry 15(4):403-413. https://doi.org/10.1016/S0883-2927(99)00086-4</w:t>
      </w:r>
    </w:p>
    <w:p>
      <w:pPr/>
      <w:r>
        <w:t>[13] Islam FS, Gault AG, Boothman C, Polya DA, Charnock JM, Chatterjee D, Lloyd JR (2004) Role of metal-reducing bacteria in arsenic release from Bengal delta sediments. Nature 430(6995):68-71. https://doi.org/10.1038/nature02638</w:t>
      </w:r>
    </w:p>
    <w:p>
      <w:pPr/>
      <w:r>
        <w:t>[14] Smedley PL, Kinniburgh DG (2002) A review of the source, behaviour and distribution of arsenic in natural waters. Applied Geochemistry 17(5):517-568. https://doi.org/10.1016/S0883-2927(02)00018-5</w:t>
      </w:r>
    </w:p>
    <w:p>
      <w:pPr/>
      <w:r>
        <w:t>[15] McMahon PB, Chapelle FH (2008) Redox processes and water quality of selected principal aquifer systems. Ground Water 46(2):259-271. https://doi.org/10.1111/j.1745-6584.2007.00385.x</w:t>
      </w:r>
    </w:p>
    <w:p>
      <w:pPr/>
      <w:r>
        <w:t>[16] Jurgens BC, McMahon PB, Chapelle FH, Eberts SM (2009) An Excel workbook for identifying redox processes in ground water. U.S. Geological Survey Open-File Report 2009-1004. https://pubs.usgs.gov/of/2009/1004/</w:t>
      </w:r>
    </w:p>
    <w:p>
      <w:pPr/>
      <w:r>
        <w:t>[17] Barman S, Mandal D, Ghosh P, Das A, Majumder M, Chatterjee D, Chatterjee D, Saha I, Basu A (2023) Identification of microbiogeochemical factors responsible for arsenic release and mobilization, and isolation of heavy metal hyper-tolerant bacterium from irrigation well water: a case study in rural Bengal. Environment, Development and Sustainability 26(2):4887-4918. https://doi.org/10.1007/s10668-023-02914-w</w:t>
      </w:r>
    </w:p>
    <w:p>
      <w:pPr/>
      <w:r>
        <w:t>[18] Batabyal AK, Chakraborty S (2015) Hydrogeochemistry and water quality index in the assessment of groundwater quality for drinking uses. Water Environment Research 87(7):607-617. https://doi.org/10.2175/106143015X14212658613956</w:t>
      </w:r>
    </w:p>
    <w:p>
      <w:pPr/>
      <w:r>
        <w:t>[19] Soren DDL, Barman J, Roy KC, Naskar S, Biswas B (2023) Evaluation of groundwater quality of South Bengal, India. Journal of Earth System Science 132(3). https://doi.org/10.1007/s12040-023-02152-8</w:t>
      </w:r>
    </w:p>
    <w:p>
      <w:pPr/>
      <w:r>
        <w:t>[20] Hossain M, Patra PK, Ghosh B, Khatun A, Nayek S (2021) Sensitive assessment of groundwater-associated, multi-exposure health hazards in a fluoride-enriched region of West Bengal, India. Environmental Geochemistry and Health 43(11):4515-4532. https://doi.org/10.1007/s10653-021-00942-x</w:t>
      </w:r>
    </w:p>
    <w:p>
      <w:pPr/>
      <w:r>
        <w:t xml:space="preserve">[21] </w:t>
      </w:r>
      <w:commentRangeStart w:id="6"/>
      <w:r>
        <w:t>Das SK, Ghosh J, Pramanik AK, Majumder D, Hossain M, Chatterjee A (2023) Non-cancer risk evaluation using a multidimensional strategy owing to groundwater fluoride and iron in a semi-arid region near the Indo-Bangladesh international frontier. Environmental Geochemistry and Health. https://doi.org/10.1007/s10653-023-01824-0</w:t>
      </w:r>
      <w:commentRangeEnd w:id="6"/>
      <w:r>
        <w:rPr>
          <w:rStyle w:val="CommentReference"/>
        </w:rPr>
        <w:commentReference w:id="6"/>
      </w:r>
    </w:p>
    <w:p>
      <w:pPr/>
      <w:r>
        <w:t>[22] Roy B, Pramanik M, Manna AK (2022) Hydrogeochemistry and quality evaluation of groundwater and its impact on human health in North Tripura, India. Environmental Monitoring and Assessment 195(1). https://doi.org/10.1007/s10661-022-10642-3</w:t>
      </w:r>
    </w:p>
    <w:p>
      <w:pPr/>
      <w:r>
        <w:t>[23] Lu Y, Tang C, Chen J, Yao H (2015) Assessment of major ions and heavy metals in groundwater: a case study from Guangzhou and Zhuhai of the Pearl River Delta, China. Frontiers of Earth Science 10(2):340-351. https://doi.org/10.1007/s11707-015-0513-8</w:t>
      </w:r>
    </w:p>
    <w:p>
      <w:pPr/>
      <w:r>
        <w:t>[24] Islam MS, Mostafa MG (2022) Evaluation of hydrogeochemical processes in groundwater using geochemical and geostatistical approaches in the Upper Bengal Basin. Geofluids 2022:9591717. https://doi.org/10.1155/2022/9591717</w:t>
      </w:r>
    </w:p>
    <w:p>
      <w:pPr/>
      <w:r>
        <w:t>[25] Pan T, Gupta S, Chowdhury AN, Gayen A, Sarkar A, Nayek S, Sukul PK (2026) Hydrochemical characterisation and critical evaluation of groundwater quality in Dakshin Dinajpur, West Bengal: insights into fluoride and iron contamination. Water Practice &amp; Technology 21(3):1106-1127. https://doi.org/10.2166/wpt.2026.225</w:t>
      </w:r>
    </w:p>
    <w:p>
      <w:pPr/>
      <w:r>
        <w:t xml:space="preserve">[26] </w:t>
      </w:r>
      <w:commentRangeStart w:id="7"/>
      <w:r>
        <w:t>van Geen A, Cheng Z, Seddique AA, Hoque MA, Gelman A, Graziano JH, Ahsan H, Parvez F, Ahmed KM (2005) Reliability of a commercial kit to test groundwater for arsenic in Bangladesh. Environmental Science &amp; Technology 39(1):299-303.</w:t>
      </w:r>
      <w:commentRangeEnd w:id="7"/>
      <w:r>
        <w:rPr>
          <w:rStyle w:val="CommentReference"/>
        </w:rPr>
        <w:commentReference w:id="7"/>
      </w:r>
    </w:p>
    <w:p>
      <w:pPr/>
      <w:r>
        <w:t>[27] George CM, Zheng Y, Graziano JH, Rasul SB, Hossain Z, Mey JL, van Geen A (2012) Evaluation of an arsenic test kit for rapid well screening in Bangladesh. Environmental Science &amp; Technology 46(20).</w:t>
      </w:r>
    </w:p>
    <w:p>
      <w:pPr/>
      <w:r>
        <w:t>[28] van Geen A, Ahmed EB, Pitcher L, et al. (2014) Comparison of two blanket surveys of arsenic in tubewells conducted 12 years apart in a 25 km² area of Bangladesh. Science of the Total Environment 488-489.</w:t>
      </w:r>
    </w:p>
    <w:p>
      <w:pPr/>
      <w:r>
        <w:t>[29] Podgorski J, Wu R, Chakravorty B, Polya DA (2020) Groundwater arsenic distribution in India by machine learning geospatial modeling. International Journal of Environmental Research and Public Health 17(19):7119. https://doi.org/10.3390/ijerph17197119</w:t>
      </w:r>
    </w:p>
    <w:p>
      <w:pPr/>
      <w:r>
        <w:t>[30] Tan Z, Yang Q, Zheng Y (2020) Machine learning models of groundwater arsenic spatial distribution in Bangladesh: influence of Holocene sediment depositional history. Environmental Science &amp; Technology 54(15):9454-9463. https://doi.org/10.1021/acs.est.0c03617</w:t>
      </w:r>
    </w:p>
    <w:p>
      <w:pPr/>
      <w:r>
        <w:t>[31] Ayotte JD, Medalie L, Qi SL, Backer LC, Nolan BT (2017) Estimating the high-arsenic domestic-well population in the conterminous United States. Environmental Science &amp; Technology 51(21):12443-12454. https://doi.org/10.1021/acs.est.7b02881</w:t>
      </w:r>
    </w:p>
    <w:p>
      <w:pPr/>
      <w:r>
        <w:t>[32] Lombard MA, Bryan MS, Jones DK, Bulka C, Bradley PM, Backer LC, Focazio MJ, Silverman DT, Toccalino P, Argos M, Gribble MO, Ayotte JD (2021) Machine learning models of arsenic in private wells throughout the conterminous United States as a tool for exposure assessment in human health studies. Environmental Science &amp; Technology 55(8):5012-5023. https://doi.org/10.1021/acs.est.0c05239</w:t>
      </w:r>
    </w:p>
    <w:p>
      <w:pPr/>
      <w:r>
        <w:t>[33] Nath B, Das A, Majumder S, Roychowdhury T, Ni-Meister W, Rahman MM (2022) Geospatial machine learning prediction of arsenic distribution in the groundwater of Murshidabad District, West Bengal, India: analyzing spatiotemporal patterns to understand human health risk. ACS ES&amp;T Water 2(12):2409-2421. https://doi.org/10.1021/acsestwater.2c00263</w:t>
      </w:r>
    </w:p>
    <w:p>
      <w:pPr/>
      <w:r>
        <w:t>[34] Khatun MF, Reza AHMS, Sattar GS, Khan AS, Khan MIA (2024) Prediction of arsenic concentration in groundwater of Chapainawabganj, Bangladesh: machine learning-based approach to spatial modeling. Environmental Science and Pollution Research 31(33):46023-46037. https://doi.org/10.1007/s11356-024-34148-2</w:t>
      </w:r>
    </w:p>
    <w:p>
      <w:pPr/>
      <w:r>
        <w:t>[35] Donselaar ME, Khanam S, Ghosh AK, Corroto C, Ghosh D (2024) Machine-learning approach for identifying arsenic-contamination hot spots: the search for the needle in the haystack. ACS ES&amp;T Water (Viewpoint). https://doi.org/10.1021/acsestwater.4c00422</w:t>
      </w:r>
    </w:p>
    <w:p>
      <w:pPr/>
      <w:r>
        <w:t>[36] Hossain F, Hill J, Bagtzoglou AC (2007) Geostatistically based management of arsenic contaminated ground water in shallow wells of Bangladesh. Water Resources Management 21(7):1245-1261. https://doi.org/10.1007/s11269-006-9079-2</w:t>
      </w:r>
    </w:p>
    <w:p>
      <w:pPr/>
      <w:r>
        <w:t>[37] Weinman B, Goodbred SL, Zheng Y, Aziz Z, Steckler M, van Geen A, Singhvi AK, Nagar YC (2008) Contributions of floodplain stratigraphy and evolution to the spatial patterns of groundwater arsenic in Araihazar, Bangladesh. Geological Society of America Bulletin 120(11-12):1567-1580.</w:t>
      </w:r>
    </w:p>
    <w:p>
      <w:pPr/>
      <w:r>
        <w:t>[38] Shamsudduha M, Taylor RG, Chandler RE (2015) A generalized regression model of arsenic variations in the shallow groundwater of Bangladesh. Water Resources Research 51(1):685-703. https://doi.org/10.1002/2013WR014572</w:t>
      </w:r>
    </w:p>
    <w:p>
      <w:pPr/>
      <w:r>
        <w:t>[39] Ghadimi F (2015) Prediction of heavy metals contamination in the groundwater of Arak region using artificial neural network and multiple linear regression. Quarterly Journal of Tethys 3(3):203-215.</w:t>
      </w:r>
    </w:p>
    <w:p>
      <w:pPr/>
      <w:r>
        <w:t>[40] Ghadimi F (2017) Machine learning algorithm for prediction of heavy metal contamination in the groundwater in the Arak urban area. Quarterly Journal of Tethys 5(2):115-127.</w:t>
      </w:r>
    </w:p>
    <w:p>
      <w:pPr/>
      <w:r>
        <w:t>[41] Khosravi K, Barzegar R, Golkarian A, Busico G, Cuoco E, Mastrocicco M, Colombani N, Tedesco D, Ntona MM, Kazakis N (2021) Predictive modeling of selected trace elements in groundwater using hybrid algorithms of iterative classifier optimizer. Journal of Contaminant Hydrology 242:103849. https://doi.org/10.1016/j.jconhyd.2021.103849</w:t>
      </w:r>
    </w:p>
    <w:p>
      <w:pPr/>
      <w:r>
        <w:t>[42] Bui DT, Khosravi K, Karimi M, Busico G, Khozani ZS, Nguyen H, Mastrocicco M, Tedesco D, Cuoco E, Kazakis N (2020) Enhancing nitrate and strontium concentration prediction in groundwater by using new data mining algorithm. Science of the Total Environment 715:136836. https://doi.org/10.1016/j.scitotenv.2020.136836</w:t>
      </w:r>
    </w:p>
    <w:p>
      <w:pPr/>
      <w:r>
        <w:t>[43] Rahmati O, Choubin B, Fathabadi A, et al. (2019) Predicting uncertainty of machine learning models for modelling nitrate pollution of groundwater using quantile regression and UNEEC methods. Science of the Total Environment 688.</w:t>
      </w:r>
    </w:p>
    <w:p>
      <w:pPr/>
      <w:r>
        <w:t>[44] Karimanzira D (2024) Probabilistic uncertainty consideration in regionalization and prediction of groundwater nitrate concentration. Knowledge 4(4):462-480. https://doi.org/10.3390/knowledge4040025</w:t>
      </w:r>
    </w:p>
    <w:p>
      <w:pPr/>
      <w:r>
        <w:t>[45] Vovk V, Gammerman A, Shafer G (2005) Algorithmic Learning in a Random World. Springer, New York. https://doi.org/10.1007/b106715</w:t>
      </w:r>
    </w:p>
    <w:p>
      <w:pPr/>
      <w:r>
        <w:t>[46] Lei J, G'Sell M, Rinaldo A, Tibshirani RJ, Wasserman L (2018) Distribution-free predictive inference for regression. Journal of the American Statistical Association 113(523):1094-1111. https://doi.org/10.1080/01621459.2017.1307116</w:t>
      </w:r>
    </w:p>
    <w:p>
      <w:pPr/>
      <w:r>
        <w:t>[47] Romano Y, Patterson E, Candès E (2019) Conformalized quantile regression. Advances in Neural Information Processing Systems 32. https://arxiv.org/abs/1905.03222</w:t>
      </w:r>
    </w:p>
    <w:p>
      <w:pPr/>
      <w:r>
        <w:t>[48] Angelopoulos AN, Bates S (2023) Conformal prediction: a gentle introduction. Foundations and Trends in Machine Learning 16(4):494-591. https://doi.org/10.1561/2200000101</w:t>
      </w:r>
    </w:p>
    <w:p>
      <w:pPr/>
      <w:r>
        <w:t>[49] Barber RF, Candès EJ, Ramdas A, Tibshirani RJ (2023) Conformal prediction beyond exchangeability. The Annals of Statistics 51(2):816-845. https://doi.org/10.1214/23-AOS2276</w:t>
      </w:r>
    </w:p>
    <w:p>
      <w:pPr/>
      <w:r>
        <w:t>[50] Tibshirani RJ, Barber RF, Candès E, Ramdas A (2019) Conformal prediction under covariate shift. Advances in Neural Information Processing Systems 32. https://arxiv.org/abs/1904.06019</w:t>
      </w:r>
    </w:p>
    <w:p>
      <w:pPr/>
      <w:r>
        <w:t>[51] Mao H, Martin R, Reich BJ (2024) Valid model-free spatial prediction. Journal of the American Statistical Association 119(546):904-914. https://doi.org/10.1080/01621459.2022.2147531</w:t>
      </w:r>
    </w:p>
    <w:p>
      <w:pPr/>
      <w:r>
        <w:t>[52] Jiang H, Xie Y (2024) Spatial conformal inference through localized quantile regression. arXiv preprint arXiv:2412.01098.</w:t>
      </w:r>
    </w:p>
    <w:p>
      <w:pPr/>
      <w:r>
        <w:t>[53] Helsel DR (2006) Fabricating data: how substituting values for nondetects can ruin results, and what can be done about it. Chemosphere 65(11):2434-2439. https://doi.org/10.1016/j.chemosphere.2006.04.051</w:t>
      </w:r>
    </w:p>
    <w:p>
      <w:pPr/>
      <w:r>
        <w:t>[54] Helsel DR (2012) Statistics for Censored Environmental Data Using Minitab and R, 2nd edn. Wiley, Hoboken. https://doi.org/10.1002/9781118162729</w:t>
      </w:r>
    </w:p>
    <w:p>
      <w:pPr/>
      <w:r>
        <w:t>[55] Shoari N, Dubé JS (2018) Toward improved analysis of concentration data: embracing nondetects. Environmental Toxicology and Chemistry 37(3):643-656. https://doi.org/10.1002/etc.4046</w:t>
      </w:r>
    </w:p>
    <w:p>
      <w:pPr/>
      <w:r>
        <w:t>[56] Baccarelli A, Pfeiffer R, Consonni D, Pesatori AC, Bonzini M, Patterson DG, Bertazzi PA, Landi MT (2005) Handling of dioxin measurement data in the presence of non-detectable values: overview of available methods and their application in the Seveso chloracne study. Chemosphere 60(7). https://doi.org/10.1016/j.chemosphere.2005.01.055</w:t>
      </w:r>
    </w:p>
    <w:p>
      <w:pPr/>
      <w:r>
        <w:t>[57] Lee L, Helsel D (2005) Statistical analysis of water-quality data containing multiple detection limits: S-language software for regression on order statistics. Computers &amp; Geosciences 31(10):1241-1248. https://doi.org/10.1016/j.cageo.2005.03.012</w:t>
      </w:r>
    </w:p>
    <w:p>
      <w:pPr/>
      <w:r>
        <w:t>[58] Tobin J (1958) Estimation of relationships for limited dependent variables. Econometrica 26(1):24-36. https://doi.org/10.2307/1907382</w:t>
      </w:r>
    </w:p>
    <w:p>
      <w:pPr/>
      <w:r>
        <w:t>[59] Antweiler RC, Taylor HE (2008) Evaluation of statistical treatments of left-censored environmental data using coincident uncensored data sets: I. Summary statistics. Environmental Science &amp; Technology 42(10):3732-3738. https://doi.org/10.1021/es071301c</w:t>
      </w:r>
    </w:p>
    <w:p>
      <w:pPr/>
      <w:r>
        <w:t>[60] Roberts DR, Bahn V, Ciuti S, Boyce MS, Elith J, Guillera-Arroita G, Hauenstein S, Lahoz-Monfort JJ, Schröder B, Thuiller W, Warton DI, Wintle BA, Hartig F, Dormann CF (2017) Cross-validation strategies for data with temporal, spatial, hierarchical, or phylogenetic structure. Ecography 40(8):913-929. https://doi.org/10.1111/ecog.02881</w:t>
      </w:r>
    </w:p>
    <w:p>
      <w:pPr/>
      <w:r>
        <w:t>[61] Valavi R, Elith J, Lahoz-Monfort JJ, Guillera-Arroita G (2019) blockCV: an R package for generating spatially or environmentally separated folds for k-fold cross-validation of species distribution models. Methods in Ecology and Evolution 10(2):225-232. https://doi.org/10.1111/2041-210X.13107</w:t>
      </w:r>
    </w:p>
    <w:p>
      <w:pPr/>
      <w:r>
        <w:t>[62] Ploton P, Mortier F, Réjou-Méchain M, Barbier N, Picard N, Rossi V, Dormann C, Cornu G, Viennois G, Bayol N, Lyapustin A, Gourlet-Fleury S, Pélissier R (2020) Spatial validation reveals poor predictive performance of large-scale ecological mapping models. Nature Communications 11:4540. https://doi.org/10.1038/s41467-020-18321-y</w:t>
      </w:r>
    </w:p>
    <w:p>
      <w:pPr/>
      <w:r>
        <w:t>[63] Meyer H, Pebesma E (2021) Predicting into unknown space? Estimating the area of applicability of spatial prediction models. Methods in Ecology and Evolution 12(9):1620-1633. https://doi.org/10.1111/2041-210X.13650</w:t>
      </w:r>
    </w:p>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verification)" w:initials="CV" w:date="2026-10-17T17:17:26Z">
    <w:p>
      <w:pPr>
        <w:pStyle w:val="CommentText"/>
      </w:pPr>
      <w:r>
        <w:rPr>
          <w:rStyle w:val="CommentReference"/>
        </w:rPr>
        <w:annotationRef/>
      </w:r>
      <w:r>
        <w:t>Ghosh et al. (2021), previously ref. [5], has been removed. Its published version (Geoscience Letters 8, 2021) samples River Hooghly surface water, not groundwater, and reports non-carcinogenic risk only. Please confirm that Brindha et al. (2020) supports the cadmium statement as worded.</w:t>
      </w:r>
    </w:p>
  </w:comment>
  <w:comment w:id="1" w:author="Claude (verification)" w:initials="CV" w:date="2026-10-17T17:17:26Z">
    <w:p>
      <w:pPr>
        <w:pStyle w:val="CommentText"/>
      </w:pPr>
      <w:r>
        <w:rPr>
          <w:rStyle w:val="CommentReference"/>
        </w:rPr>
        <w:annotationRef/>
      </w:r>
      <w:r>
        <w:t>Count reduced from seventeen after removing Ghosh et al. (2021). Three studies lie outside the Bengal Basin (Ullah: Sheikhupura, Pakistan; Upadhyaya: Gujarat; Lu: Pearl River Delta, China), so the region wording was widened. Upadhyaya (2013) and Lu/Batabyal (2015) are not especially recent; consider dropping 'recent' or the older papers.</w:t>
      </w:r>
    </w:p>
  </w:comment>
  <w:comment w:id="2" w:author="Claude (verification)" w:initials="CV" w:date="2026-10-17T17:17:26Z">
    <w:p>
      <w:pPr>
        <w:pStyle w:val="CommentText"/>
      </w:pPr>
      <w:r>
        <w:rPr>
          <w:rStyle w:val="CommentReference"/>
        </w:rPr>
        <w:annotationRef/>
      </w:r>
      <w:r>
        <w:t>Narrowed from 'groundwater quality prediction'. Conformal methods are already used in subsurface and hydrological applications. Before submission, run a targeted search (e.g. Scopus: conformal AND groundwater AND (arsenic OR metal*)) to confirm this sentence still holds.</w:t>
      </w:r>
    </w:p>
  </w:comment>
  <w:comment w:id="3" w:author="Claude (verification)" w:initials="CV" w:date="2026-10-17T17:17:26Z">
    <w:p>
      <w:pPr>
        <w:pStyle w:val="CommentText"/>
      </w:pPr>
      <w:r>
        <w:rPr>
          <w:rStyle w:val="CommentReference"/>
        </w:rPr>
        <w:annotationRef/>
      </w:r>
      <w:r>
        <w:t>Table rebuilt after verification. Changes: (1) Algeria study removed (predicts major ions, not trace metals; no authors). (2) Donselaar et al. (2024) removed from the table: it is a Viewpoint with no reported model validation; still cited in text. (3) Tan et al. (2020) added: Bangladesh, combines geospatial and laboratory hydrochemical predictors. (4) 'ignored' censoring entries corrected: Podgorski &amp; Berg, Nath and Lombard explicitly binarise because of reporting limits or analytical precision. (5) The internal 'id' column was replaced by reference numbers. Rows marked 'Abstract' should be confirmed from the full text before submission, especially Podgorski et al. (India), Khatun, Shamsudduha and Bui.</w:t>
      </w:r>
    </w:p>
  </w:comment>
  <w:comment w:id="4" w:author="Claude (verification)" w:initials="CV" w:date="2026-10-17T17:17:26Z">
    <w:p>
      <w:pPr>
        <w:pStyle w:val="CommentText"/>
      </w:pPr>
      <w:r>
        <w:rPr>
          <w:rStyle w:val="CommentReference"/>
        </w:rPr>
        <w:annotationRef/>
      </w:r>
      <w:r>
        <w:t>Reviewer risk: if heavily censored metals are excluded at the RQ1 screen, 'heavily censored metals prove unmodellable' is partly true by construction. Consider fitting a censoring-aware model (Tobit or ROS-based) to the excluded metals, or relating skill to censoring rate while controlling for geochemical association, so the hypothesis is tested by data rather than by design.</w:t>
      </w:r>
    </w:p>
  </w:comment>
  <w:comment w:id="5" w:author="Claude (verification)" w:initials="CV" w:date="2026-10-17T17:17:26Z">
    <w:p>
      <w:pPr>
        <w:pStyle w:val="CommentText"/>
      </w:pPr>
      <w:r>
        <w:rPr>
          <w:rStyle w:val="CommentReference"/>
        </w:rPr>
        <w:annotationRef/>
      </w:r>
      <w:r>
        <w:t>The preceding paragraph says the special study areas are the only part of the survey with field Eh, DO and DOC. If the 1,027 external wells lack these, the transfer test uses a reduced predictor set. State which tier is transferred.</w:t>
      </w:r>
    </w:p>
  </w:comment>
  <w:comment w:id="6" w:author="Claude (verification)" w:initials="CV" w:date="2026-10-17T17:17:26Z">
    <w:p>
      <w:pPr>
        <w:pStyle w:val="CommentText"/>
      </w:pPr>
      <w:r>
        <w:rPr>
          <w:rStyle w:val="CommentReference"/>
        </w:rPr>
        <w:annotationRef/>
      </w:r>
      <w:r>
        <w:t>Replaces the Research Square preprint. The published article (Environ Geochem Health, 2023) studies Hili on the Indo-Bangladesh border; confirm its final title, author list and volume/pages, which may differ from the preprint.</w:t>
      </w:r>
    </w:p>
  </w:comment>
  <w:comment w:id="7" w:author="Claude (verification)" w:initials="CV" w:date="2026-10-17T17:17:26Z">
    <w:p>
      <w:pPr>
        <w:pStyle w:val="CommentText"/>
      </w:pPr>
      <w:r>
        <w:rPr>
          <w:rStyle w:val="CommentReference"/>
        </w:rPr>
        <w:annotationRef/>
      </w:r>
      <w:r>
        <w:t>New reference (was cited author-year in text). Add DOIs for this entry and for the George et al. (2012) and van Geen et al. (2014) entries, and confirm the full title and pages of van Geen et al. (2014); these were not verified. Rahmati et al. (2019) and Baccarelli et al. (2005) also still lack pages.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