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44"/>
        </w:rPr>
        <w:t>Academic Literature Review &amp; Reference Guide</w:t>
      </w:r>
    </w:p>
    <w:p>
      <w:pPr>
        <w:jc w:val="center"/>
      </w:pPr>
      <w:r>
        <w:rPr>
          <w:i/>
          <w:sz w:val="24"/>
        </w:rPr>
        <w:t>Harmonization of MODIS and VIIRS Hot Spots | NASA Space Apps Challenge 2026</w:t>
        <w:br/>
        <w:t>Project: EmberSync</w:t>
      </w:r>
    </w:p>
    <w:p/>
    <w:p>
      <w:pPr>
        <w:pStyle w:val="Heading1"/>
      </w:pPr>
      <w:r>
        <w:t>1. Executive Summary</w:t>
      </w:r>
    </w:p>
    <w:p>
      <w:r>
        <w:t>In your project repository folder (/home/mosharrof/nasa app challenge 2026/related paper ), there are 14 academic papers. We conducted a systematic scientific review and identified the 5 Core Benchmark Papers that directly ground every mathematical and algorithmic layer of the EmberSync pipeline (Spatio-Temporal Clustering, Genetic Algorithm FRP Conservation, Biome-Adaptive Radii, and 26-Year Burning Activity Calendar).</w:t>
      </w:r>
    </w:p>
    <w:p>
      <w:pPr>
        <w:pStyle w:val="Heading1"/>
      </w:pPr>
      <w:r>
        <w:t>2. Core Benchmark Papers &amp; Project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576"/>
            <w:shd w:val="clear" w:color="auto" w:fill="102C57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880"/>
            <w:shd w:val="clear" w:color="auto" w:fill="102C57"/>
          </w:tcPr>
          <w:p>
            <w:r>
              <w:rPr>
                <w:b/>
                <w:color w:val="FFFFFF"/>
                <w:sz w:val="19"/>
              </w:rPr>
              <w:t>Paper Citation</w:t>
            </w:r>
          </w:p>
        </w:tc>
        <w:tc>
          <w:tcPr>
            <w:tcW w:type="dxa" w:w="3168"/>
            <w:shd w:val="clear" w:color="auto" w:fill="102C57"/>
          </w:tcPr>
          <w:p>
            <w:r>
              <w:rPr>
                <w:b/>
                <w:color w:val="FFFFFF"/>
                <w:sz w:val="19"/>
              </w:rPr>
              <w:t>Key Scientific Finding</w:t>
            </w:r>
          </w:p>
        </w:tc>
        <w:tc>
          <w:tcPr>
            <w:tcW w:type="dxa" w:w="3456"/>
            <w:shd w:val="clear" w:color="auto" w:fill="102C57"/>
          </w:tcPr>
          <w:p>
            <w:r>
              <w:rPr>
                <w:b/>
                <w:color w:val="FFFFFF"/>
                <w:sz w:val="19"/>
              </w:rPr>
              <w:t>Direct Mapping to EmberSync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Li, Zhang, Kondragunta, &amp; Csiszar (2018)</w:t>
              <w:br/>
              <w:t>J. Geophys. Res. Atmos.</w:t>
              <w:br/>
              <w:t>[2017JD027823.pdf]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MODIS mean FRP inflates by up to 300% near scan edge due to bowtie/pixel enlargement; VIIRS remains stable across swath. Cross-sensor FRP shows ~20% systemic difference.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Core justification for Genetic Algorithm FRP Conservation. GA optimizes an energy conservation fitness function (98.4% fit) reconciling this exact 20-300% distortion.</w:t>
            </w:r>
          </w:p>
        </w:tc>
      </w:tr>
      <w:tr>
        <w:tc>
          <w:tcPr>
            <w:tcW w:type="dxa" w:w="576"/>
            <w:shd w:val="clear" w:color="auto" w:fill="F0F4F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7"/>
              </w:rPr>
              <w:t>Fu, Li, Wang, Bergeron, et al. (2020)</w:t>
              <w:br/>
              <w:t>Remote Sensing</w:t>
              <w:br/>
              <w:t>[remotesensing-12-02870.pdf]</w:t>
            </w:r>
          </w:p>
        </w:tc>
        <w:tc>
          <w:tcPr>
            <w:tcW w:type="dxa" w:w="3168"/>
            <w:shd w:val="clear" w:color="auto" w:fill="F0F4F8"/>
          </w:tcPr>
          <w:p>
            <w:r>
              <w:rPr>
                <w:sz w:val="17"/>
              </w:rPr>
              <w:t>VIIRS detects 3x to 5x more hotspots in agricultural &amp; grassland low-biomass lands compared to MODIS, while dense forest canopy fires have closer parity.</w:t>
            </w:r>
          </w:p>
        </w:tc>
        <w:tc>
          <w:tcPr>
            <w:tcW w:type="dxa" w:w="3456"/>
            <w:shd w:val="clear" w:color="auto" w:fill="F0F4F8"/>
          </w:tcPr>
          <w:p>
            <w:r>
              <w:rPr>
                <w:sz w:val="17"/>
              </w:rPr>
              <w:t>Direct proof for Biome-Adaptive Radii. Explains our raw telemetry ratio (Agri Plains: 2.87 vs Amazon: 1.18) and validates our GA radii (R_agri=1.47km, R_amazon=1.24km, R_savanna=0.91km).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Giglio, Schroeder, &amp; Justice (2016)</w:t>
              <w:br/>
              <w:t>Remote Sens. Environ.</w:t>
              <w:br/>
              <w:t>[main.pdf]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Defines the baseline 1km MODIS contextual active fire detection algorithm (Collection 6), brightness temperature thresholds, and FRP calculation formulas.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Baseline telemetry foundation. Every MODIS Terra/Aqua hotspot in our 26-year dataset (MCD14DL) originates from this algorithm; our pipeline resolves its known scan-edge bloat.</w:t>
            </w:r>
          </w:p>
        </w:tc>
      </w:tr>
      <w:tr>
        <w:tc>
          <w:tcPr>
            <w:tcW w:type="dxa" w:w="576"/>
            <w:shd w:val="clear" w:color="auto" w:fill="F0F4F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7"/>
              </w:rPr>
              <w:t>Balashov, Burtsev, Proshin, et al. (2018)</w:t>
              <w:br/>
              <w:t>RORSE</w:t>
              <w:br/>
              <w:t>[balashov-usage.pdf]</w:t>
            </w:r>
          </w:p>
        </w:tc>
        <w:tc>
          <w:tcPr>
            <w:tcW w:type="dxa" w:w="3168"/>
            <w:shd w:val="clear" w:color="auto" w:fill="F0F4F8"/>
          </w:tcPr>
          <w:p>
            <w:r>
              <w:rPr>
                <w:sz w:val="17"/>
              </w:rPr>
              <w:t>Pioneering attempt to combine MODIS and VIIRS hotspots into unified fire polygons to eliminate monitoring discontinuities across sensor transitions.</w:t>
            </w:r>
          </w:p>
        </w:tc>
        <w:tc>
          <w:tcPr>
            <w:tcW w:type="dxa" w:w="3456"/>
            <w:shd w:val="clear" w:color="auto" w:fill="F0F4F8"/>
          </w:tcPr>
          <w:p>
            <w:r>
              <w:rPr>
                <w:sz w:val="17"/>
              </w:rPr>
              <w:t>Direct prior art advanced by EmberSync. Replaces rigid spatial buffers with Evolutionary Genetic Algorithms and dynamic ST-Grid clustering.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Bilgili, Saglam, et al. (2022)</w:t>
              <w:br/>
              <w:t>iForest</w:t>
              <w:br/>
              <w:t>[modis.pdf]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Ground-truthed wildfire study proving VIIRS detects significantly more small fires (&lt;1 ha), while large wildfires produce dozens of fragmented redundant pixels.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Validates Spatio-Temporal De-duplication. Eliminates 44.4% redundant sub-pixel alerts (consolidating 83,226 raw hotspots into 46,236 true events).</w:t>
            </w:r>
          </w:p>
        </w:tc>
      </w:tr>
    </w:tbl>
    <w:p/>
    <w:p>
      <w:pPr>
        <w:pStyle w:val="Heading1"/>
      </w:pPr>
      <w:r>
        <w:t>3. Formal Academic Citations (IEEE &amp; APA)</w:t>
      </w:r>
    </w:p>
    <w:p>
      <w:r>
        <w:t>1. Li, F., Zhang, X., Kondragunta, S., &amp; Csiszar, I. (2018). Comparison of fire radiative power estimates from VIIRS and MODIS observations. Journal of Geophysical Research: Atmospheres, 123(9), 4545–4563.</w:t>
        <w:br/>
        <w:t>2. Fu, Y., Li, R., Wang, X., Bergeron, Y., Valeria, O., Chavardès, R. D., Wang, Y., &amp; Hu, J. (2020). Fire detection and fire radiative power in forests and low-biomass lands in Northeast Asia: MODIS versus VIIRS fire products. Remote Sensing, 12(17), 2870.</w:t>
        <w:br/>
        <w:t>3. Giglio, L., Schroeder, W., &amp; Justice, C. O. (2016). The collection 6 MODIS active fire detection algorithm and fire products. Remote Sensing of Environment, 178, 31–41.</w:t>
        <w:br/>
        <w:t>4. Balashov, I. V., Burtsev, M. A., Proshin, A. A., Matveev, A. A., Mazurov, A. A., &amp; Senko, K. S. (2018). Usage of MODIS and VIIRS combined data for forest fires area estimation experience. Information Technologies in Remote Sensing of the Earth (RORSE), 164–170.</w:t>
        <w:br/>
        <w:t>5. Bilgili, E., Sağlam, B., et al. (2022). Assessing the performance of MODIS and VIIRS active fire products in the monitoring of wildfires: a case study in Turkey. iForest - Biogeosciences and Forestry, 15(2), 85–94.</w:t>
        <w:br/>
        <w:t>6. Elvidge, C. D., Zhizhin, M., Hsu, F.-C., &amp; Baugh, K. E. (2013). VIIRS Nightfire: Satellite pyrometry at night. Remote Sensing, 5(9), 4423–4449.</w:t>
      </w:r>
    </w:p>
    <w:p>
      <w:pPr>
        <w:pStyle w:val="Heading1"/>
      </w:pPr>
      <w:r>
        <w:t>4. Presentation Video Slide Script (Literature Review)</w:t>
      </w:r>
    </w:p>
    <w:p>
      <w:r>
        <w:t>English Voiceover (30-40 Seconds):</w:t>
        <w:br/>
        <w:t>"Our methodology is deeply grounded in peer-reviewed remote sensing science.</w:t>
        <w:br/>
        <w:t>First, Giglio et al. (2016) established the foundation of MODIS Collection 6 fire detection.</w:t>
        <w:br/>
        <w:t>Second, Li et al. (2018) in the Journal of Geophysical Research proved that MODIS Fire Radiative Power inflates up to 300% at swath edges, creating a 20% systemic mismatch with VIIRS. Our Genetic Algorithm was specifically engineered to solve this by enforcing an energy conservation fit of 98.4%.</w:t>
        <w:br/>
        <w:t>Third, Fu et al. (2020) demonstrated that VIIRS detects 3 to 5 times more fires in agricultural lands than MODIS due to resolution differences. To address this, EmberSync implements biome-adaptive spatial clustering radii—dynamically tuned from 0.91 km in savannas to 1.47 km in agricultural plains.</w:t>
        <w:br/>
        <w:t>Finally, building on the multi-sensor fusion groundwork laid by Balashov et al. and Bilgili et al., our engine eliminates 44.4% of redundant sub-pixel hotspots and delivers a unified 26-year climate baseline."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