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C2410C"/>
          <w:sz w:val="40"/>
          <w:szCs w:val="40"/>
        </w:rPr>
        <w:t xml:space="preserve">EmberSync — Final 4-Minute Video Script</w:t>
      </w:r>
    </w:p>
    <w:p>
      <w:pPr>
        <w:spacing w:after="100" w:line="276"/>
      </w:pPr>
      <w:r>
        <w:rPr>
          <w:rFonts w:ascii="Arial" w:cs="Arial" w:eastAsia="Arial" w:hAnsi="Arial"/>
          <w:color w:val="4B5563"/>
          <w:sz w:val="21"/>
          <w:szCs w:val="21"/>
        </w:rPr>
        <w:t xml:space="preserve">NASA International Space Apps Challenge 2026 · Harmonization of MODIS and VIIRS Hot Spots</w:t>
      </w:r>
    </w:p>
    <w:p>
      <w:pPr>
        <w:spacing w:after="100" w:line="276"/>
      </w:pPr>
      <w:r>
        <w:rPr>
          <w:rFonts w:ascii="Arial" w:cs="Arial" w:eastAsia="Arial" w:hAnsi="Arial"/>
          <w:b/>
          <w:bCs/>
          <w:sz w:val="21"/>
          <w:szCs w:val="21"/>
        </w:rPr>
        <w:t xml:space="preserve">Target: 4:00  ·  Voiceover: </w:t>
      </w:r>
      <w:r>
        <w:rPr>
          <w:rFonts w:ascii="Arial" w:cs="Arial" w:eastAsia="Arial" w:hAnsi="Arial"/>
          <w:sz w:val="21"/>
          <w:szCs w:val="21"/>
        </w:rPr>
        <w:t xml:space="preserve">~522 words (≈ 3:44 at 140 wpm, leaving a few seconds of breathing room)</w:t>
      </w:r>
    </w:p>
    <w:p>
      <w:pPr>
        <w:spacing w:after="100" w:line="276"/>
      </w:pPr>
      <w:r>
        <w:rPr>
          <w:rFonts w:ascii="Arial" w:cs="Arial" w:eastAsia="Arial" w:hAnsi="Arial"/>
          <w:b/>
          <w:bCs/>
          <w:sz w:val="21"/>
          <w:szCs w:val="21"/>
        </w:rPr>
        <w:t xml:space="preserve">How to use: </w:t>
      </w:r>
      <w:r>
        <w:rPr>
          <w:rFonts w:ascii="Arial" w:cs="Arial" w:eastAsia="Arial" w:hAnsi="Arial"/>
          <w:sz w:val="21"/>
          <w:szCs w:val="21"/>
        </w:rPr>
        <w:t xml:space="preserve">Only read the right-hand column aloud. The middle column is what the editor puts on screen — nobody says it. Replace [Insert Team Name] before recording.</w:t>
      </w:r>
    </w:p>
    <w:p>
      <w:pPr>
        <w:pStyle w:val="Heading1"/>
        <w:spacing w:after="140" w:before="320"/>
      </w:pPr>
      <w:r>
        <w:rPr>
          <w:rFonts w:ascii="Arial" w:cs="Arial" w:eastAsia="Arial" w:hAnsi="Arial"/>
          <w:b/>
          <w:bCs/>
          <w:color w:val="C2410C"/>
          <w:sz w:val="28"/>
          <w:szCs w:val="28"/>
        </w:rPr>
        <w:t xml:space="preserve">Timeline at a glance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1300"/>
        <w:gridCol w:w="3146"/>
      </w:tblGrid>
      <w:tr>
        <w:trPr>
          <w:tblHeader/>
        </w:trPr>
        <w:tc>
          <w:tcPr>
            <w:tcW w:type="dxa" w:w="3400"/>
            <w:tcBorders>
              <w:top w:val="single" w:color="D1D5DB" w:sz="4"/>
              <w:left w:val="single" w:color="D1D5DB" w:sz="4"/>
              <w:bottom w:val="single" w:color="D1D5DB" w:sz="4"/>
              <w:right w:val="single" w:color="D1D5DB" w:sz="4"/>
            </w:tcBorders>
            <w:shd w:fill="C2410C" w:color="auto" w:val="clear"/>
            <w:tcMar>
              <w:top w:type="dxa" w:w="80"/>
              <w:left w:type="dxa" w:w="110"/>
              <w:bottom w:type="dxa" w:w="80"/>
              <w:right w:type="dxa" w:w="110"/>
            </w:tcMar>
          </w:tcPr>
          <w:p>
            <w:r>
              <w:rPr>
                <w:rFonts w:ascii="Arial" w:cs="Arial" w:eastAsia="Arial" w:hAnsi="Arial"/>
                <w:b/>
                <w:bCs/>
                <w:color w:val="FFFFFF"/>
                <w:sz w:val="20"/>
                <w:szCs w:val="20"/>
              </w:rPr>
              <w:t xml:space="preserve">Segment</w:t>
            </w:r>
          </w:p>
        </w:tc>
        <w:tc>
          <w:tcPr>
            <w:tcW w:type="dxa" w:w="1900"/>
            <w:tcBorders>
              <w:top w:val="single" w:color="D1D5DB" w:sz="4"/>
              <w:left w:val="single" w:color="D1D5DB" w:sz="4"/>
              <w:bottom w:val="single" w:color="D1D5DB" w:sz="4"/>
              <w:right w:val="single" w:color="D1D5DB" w:sz="4"/>
            </w:tcBorders>
            <w:shd w:fill="C2410C" w:color="auto" w:val="clear"/>
            <w:tcMar>
              <w:top w:type="dxa" w:w="80"/>
              <w:left w:type="dxa" w:w="110"/>
              <w:bottom w:type="dxa" w:w="80"/>
              <w:right w:type="dxa" w:w="110"/>
            </w:tcMar>
          </w:tcPr>
          <w:p>
            <w:r>
              <w:rPr>
                <w:rFonts w:ascii="Arial" w:cs="Arial" w:eastAsia="Arial" w:hAnsi="Arial"/>
                <w:b/>
                <w:bCs/>
                <w:color w:val="FFFFFF"/>
                <w:sz w:val="20"/>
                <w:szCs w:val="20"/>
              </w:rPr>
              <w:t xml:space="preserve">Time</w:t>
            </w:r>
          </w:p>
        </w:tc>
        <w:tc>
          <w:tcPr>
            <w:tcW w:type="dxa" w:w="1300"/>
            <w:tcBorders>
              <w:top w:val="single" w:color="D1D5DB" w:sz="4"/>
              <w:left w:val="single" w:color="D1D5DB" w:sz="4"/>
              <w:bottom w:val="single" w:color="D1D5DB" w:sz="4"/>
              <w:right w:val="single" w:color="D1D5DB" w:sz="4"/>
            </w:tcBorders>
            <w:shd w:fill="C2410C" w:color="auto" w:val="clear"/>
            <w:tcMar>
              <w:top w:type="dxa" w:w="80"/>
              <w:left w:type="dxa" w:w="110"/>
              <w:bottom w:type="dxa" w:w="80"/>
              <w:right w:type="dxa" w:w="110"/>
            </w:tcMar>
          </w:tcPr>
          <w:p>
            <w:r>
              <w:rPr>
                <w:rFonts w:ascii="Arial" w:cs="Arial" w:eastAsia="Arial" w:hAnsi="Arial"/>
                <w:b/>
                <w:bCs/>
                <w:color w:val="FFFFFF"/>
                <w:sz w:val="20"/>
                <w:szCs w:val="20"/>
              </w:rPr>
              <w:t xml:space="preserve">Words</w:t>
            </w:r>
          </w:p>
        </w:tc>
        <w:tc>
          <w:tcPr>
            <w:tcW w:type="dxa" w:w="3146"/>
            <w:tcBorders>
              <w:top w:val="single" w:color="D1D5DB" w:sz="4"/>
              <w:left w:val="single" w:color="D1D5DB" w:sz="4"/>
              <w:bottom w:val="single" w:color="D1D5DB" w:sz="4"/>
              <w:right w:val="single" w:color="D1D5DB" w:sz="4"/>
            </w:tcBorders>
            <w:shd w:fill="C2410C" w:color="auto" w:val="clear"/>
            <w:tcMar>
              <w:top w:type="dxa" w:w="80"/>
              <w:left w:type="dxa" w:w="110"/>
              <w:bottom w:type="dxa" w:w="80"/>
              <w:right w:type="dxa" w:w="110"/>
            </w:tcMar>
          </w:tcPr>
          <w:p>
            <w:r>
              <w:rPr>
                <w:rFonts w:ascii="Arial" w:cs="Arial" w:eastAsia="Arial" w:hAnsi="Arial"/>
                <w:b/>
                <w:bCs/>
                <w:color w:val="FFFFFF"/>
                <w:sz w:val="20"/>
                <w:szCs w:val="20"/>
              </w:rPr>
              <w:t xml:space="preserve">Energy</w:t>
            </w:r>
          </w:p>
        </w:tc>
      </w:tr>
      <w:tr>
        <w:tc>
          <w:tcPr>
            <w:tcW w:type="dxa" w:w="3400"/>
            <w:tcBorders>
              <w:top w:val="single" w:color="D1D5DB" w:sz="4"/>
              <w:left w:val="single" w:color="D1D5DB" w:sz="4"/>
              <w:bottom w:val="single" w:color="D1D5DB" w:sz="4"/>
              <w:right w:val="single" w:color="D1D5DB" w:sz="4"/>
            </w:tcBorders>
            <w:tcMar>
              <w:top w:type="dxa" w:w="80"/>
              <w:left w:type="dxa" w:w="110"/>
              <w:bottom w:type="dxa" w:w="80"/>
              <w:right w:type="dxa" w:w="110"/>
            </w:tcMar>
          </w:tcPr>
          <w:p>
            <w:r>
              <w:rPr>
                <w:rFonts w:ascii="Arial" w:cs="Arial" w:eastAsia="Arial" w:hAnsi="Arial"/>
                <w:sz w:val="20"/>
                <w:szCs w:val="20"/>
              </w:rPr>
              <w:t xml:space="preserve">THE HOOK</w:t>
            </w:r>
          </w:p>
        </w:tc>
        <w:tc>
          <w:tcPr>
            <w:tcW w:type="dxa" w:w="1900"/>
            <w:tcBorders>
              <w:top w:val="single" w:color="D1D5DB" w:sz="4"/>
              <w:left w:val="single" w:color="D1D5DB" w:sz="4"/>
              <w:bottom w:val="single" w:color="D1D5DB" w:sz="4"/>
              <w:right w:val="single" w:color="D1D5DB" w:sz="4"/>
            </w:tcBorders>
            <w:tcMar>
              <w:top w:type="dxa" w:w="80"/>
              <w:left w:type="dxa" w:w="110"/>
              <w:bottom w:type="dxa" w:w="80"/>
              <w:right w:type="dxa" w:w="110"/>
            </w:tcMar>
          </w:tcPr>
          <w:p>
            <w:r>
              <w:rPr>
                <w:rFonts w:ascii="Arial" w:cs="Arial" w:eastAsia="Arial" w:hAnsi="Arial"/>
                <w:sz w:val="20"/>
                <w:szCs w:val="20"/>
              </w:rPr>
              <w:t xml:space="preserve">0:00 – 0:25</w:t>
            </w:r>
          </w:p>
        </w:tc>
        <w:tc>
          <w:tcPr>
            <w:tcW w:type="dxa" w:w="1300"/>
            <w:tcBorders>
              <w:top w:val="single" w:color="D1D5DB" w:sz="4"/>
              <w:left w:val="single" w:color="D1D5DB" w:sz="4"/>
              <w:bottom w:val="single" w:color="D1D5DB" w:sz="4"/>
              <w:right w:val="single" w:color="D1D5DB" w:sz="4"/>
            </w:tcBorders>
            <w:tcMar>
              <w:top w:type="dxa" w:w="80"/>
              <w:left w:type="dxa" w:w="110"/>
              <w:bottom w:type="dxa" w:w="80"/>
              <w:right w:type="dxa" w:w="110"/>
            </w:tcMar>
          </w:tcPr>
          <w:p>
            <w:r>
              <w:rPr>
                <w:rFonts w:ascii="Arial" w:cs="Arial" w:eastAsia="Arial" w:hAnsi="Arial"/>
                <w:sz w:val="20"/>
                <w:szCs w:val="20"/>
              </w:rPr>
              <w:t xml:space="preserve">62</w:t>
            </w:r>
          </w:p>
        </w:tc>
        <w:tc>
          <w:tcPr>
            <w:tcW w:type="dxa" w:w="3146"/>
            <w:tcBorders>
              <w:top w:val="single" w:color="D1D5DB" w:sz="4"/>
              <w:left w:val="single" w:color="D1D5DB" w:sz="4"/>
              <w:bottom w:val="single" w:color="D1D5DB" w:sz="4"/>
              <w:right w:val="single" w:color="D1D5DB" w:sz="4"/>
            </w:tcBorders>
            <w:tcMar>
              <w:top w:type="dxa" w:w="80"/>
              <w:left w:type="dxa" w:w="110"/>
              <w:bottom w:type="dxa" w:w="80"/>
              <w:right w:type="dxa" w:w="110"/>
            </w:tcMar>
          </w:tcPr>
          <w:p>
            <w:r>
              <w:rPr>
                <w:rFonts w:ascii="Arial" w:cs="Arial" w:eastAsia="Arial" w:hAnsi="Arial"/>
                <w:sz w:val="20"/>
                <w:szCs w:val="20"/>
              </w:rPr>
              <w:t xml:space="preserve">Shock &amp; curiosity</w:t>
            </w:r>
          </w:p>
        </w:tc>
      </w:tr>
      <w:tr>
        <w:tc>
          <w:tcPr>
            <w:tcW w:type="dxa" w:w="340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r>
              <w:rPr>
                <w:rFonts w:ascii="Arial" w:cs="Arial" w:eastAsia="Arial" w:hAnsi="Arial"/>
                <w:sz w:val="20"/>
                <w:szCs w:val="20"/>
              </w:rPr>
              <w:t xml:space="preserve">THE PROBLEM</w:t>
            </w:r>
          </w:p>
        </w:tc>
        <w:tc>
          <w:tcPr>
            <w:tcW w:type="dxa" w:w="190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r>
              <w:rPr>
                <w:rFonts w:ascii="Arial" w:cs="Arial" w:eastAsia="Arial" w:hAnsi="Arial"/>
                <w:sz w:val="20"/>
                <w:szCs w:val="20"/>
              </w:rPr>
              <w:t xml:space="preserve">0:25 – 0:55</w:t>
            </w:r>
          </w:p>
        </w:tc>
        <w:tc>
          <w:tcPr>
            <w:tcW w:type="dxa" w:w="130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r>
              <w:rPr>
                <w:rFonts w:ascii="Arial" w:cs="Arial" w:eastAsia="Arial" w:hAnsi="Arial"/>
                <w:sz w:val="20"/>
                <w:szCs w:val="20"/>
              </w:rPr>
              <w:t xml:space="preserve">69</w:t>
            </w:r>
          </w:p>
        </w:tc>
        <w:tc>
          <w:tcPr>
            <w:tcW w:type="dxa" w:w="3146"/>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r>
              <w:rPr>
                <w:rFonts w:ascii="Arial" w:cs="Arial" w:eastAsia="Arial" w:hAnsi="Arial"/>
                <w:sz w:val="20"/>
                <w:szCs w:val="20"/>
              </w:rPr>
              <w:t xml:space="preserve">Build the stakes</w:t>
            </w:r>
          </w:p>
        </w:tc>
      </w:tr>
      <w:tr>
        <w:tc>
          <w:tcPr>
            <w:tcW w:type="dxa" w:w="3400"/>
            <w:tcBorders>
              <w:top w:val="single" w:color="D1D5DB" w:sz="4"/>
              <w:left w:val="single" w:color="D1D5DB" w:sz="4"/>
              <w:bottom w:val="single" w:color="D1D5DB" w:sz="4"/>
              <w:right w:val="single" w:color="D1D5DB" w:sz="4"/>
            </w:tcBorders>
            <w:tcMar>
              <w:top w:type="dxa" w:w="80"/>
              <w:left w:type="dxa" w:w="110"/>
              <w:bottom w:type="dxa" w:w="80"/>
              <w:right w:type="dxa" w:w="110"/>
            </w:tcMar>
          </w:tcPr>
          <w:p>
            <w:r>
              <w:rPr>
                <w:rFonts w:ascii="Arial" w:cs="Arial" w:eastAsia="Arial" w:hAnsi="Arial"/>
                <w:sz w:val="20"/>
                <w:szCs w:val="20"/>
              </w:rPr>
              <w:t xml:space="preserve">THE SOLUTION</w:t>
            </w:r>
          </w:p>
        </w:tc>
        <w:tc>
          <w:tcPr>
            <w:tcW w:type="dxa" w:w="1900"/>
            <w:tcBorders>
              <w:top w:val="single" w:color="D1D5DB" w:sz="4"/>
              <w:left w:val="single" w:color="D1D5DB" w:sz="4"/>
              <w:bottom w:val="single" w:color="D1D5DB" w:sz="4"/>
              <w:right w:val="single" w:color="D1D5DB" w:sz="4"/>
            </w:tcBorders>
            <w:tcMar>
              <w:top w:type="dxa" w:w="80"/>
              <w:left w:type="dxa" w:w="110"/>
              <w:bottom w:type="dxa" w:w="80"/>
              <w:right w:type="dxa" w:w="110"/>
            </w:tcMar>
          </w:tcPr>
          <w:p>
            <w:r>
              <w:rPr>
                <w:rFonts w:ascii="Arial" w:cs="Arial" w:eastAsia="Arial" w:hAnsi="Arial"/>
                <w:sz w:val="20"/>
                <w:szCs w:val="20"/>
              </w:rPr>
              <w:t xml:space="preserve">0:55 – 2:05</w:t>
            </w:r>
          </w:p>
        </w:tc>
        <w:tc>
          <w:tcPr>
            <w:tcW w:type="dxa" w:w="1300"/>
            <w:tcBorders>
              <w:top w:val="single" w:color="D1D5DB" w:sz="4"/>
              <w:left w:val="single" w:color="D1D5DB" w:sz="4"/>
              <w:bottom w:val="single" w:color="D1D5DB" w:sz="4"/>
              <w:right w:val="single" w:color="D1D5DB" w:sz="4"/>
            </w:tcBorders>
            <w:tcMar>
              <w:top w:type="dxa" w:w="80"/>
              <w:left w:type="dxa" w:w="110"/>
              <w:bottom w:type="dxa" w:w="80"/>
              <w:right w:type="dxa" w:w="110"/>
            </w:tcMar>
          </w:tcPr>
          <w:p>
            <w:r>
              <w:rPr>
                <w:rFonts w:ascii="Arial" w:cs="Arial" w:eastAsia="Arial" w:hAnsi="Arial"/>
                <w:sz w:val="20"/>
                <w:szCs w:val="20"/>
              </w:rPr>
              <w:t xml:space="preserve">148</w:t>
            </w:r>
          </w:p>
        </w:tc>
        <w:tc>
          <w:tcPr>
            <w:tcW w:type="dxa" w:w="3146"/>
            <w:tcBorders>
              <w:top w:val="single" w:color="D1D5DB" w:sz="4"/>
              <w:left w:val="single" w:color="D1D5DB" w:sz="4"/>
              <w:bottom w:val="single" w:color="D1D5DB" w:sz="4"/>
              <w:right w:val="single" w:color="D1D5DB" w:sz="4"/>
            </w:tcBorders>
            <w:tcMar>
              <w:top w:type="dxa" w:w="80"/>
              <w:left w:type="dxa" w:w="110"/>
              <w:bottom w:type="dxa" w:w="80"/>
              <w:right w:type="dxa" w:w="110"/>
            </w:tcMar>
          </w:tcPr>
          <w:p>
            <w:r>
              <w:rPr>
                <w:rFonts w:ascii="Arial" w:cs="Arial" w:eastAsia="Arial" w:hAnsi="Arial"/>
                <w:sz w:val="20"/>
                <w:szCs w:val="20"/>
              </w:rPr>
              <w:t xml:space="preserve">Show the magic</w:t>
            </w:r>
          </w:p>
        </w:tc>
      </w:tr>
      <w:tr>
        <w:tc>
          <w:tcPr>
            <w:tcW w:type="dxa" w:w="340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r>
              <w:rPr>
                <w:rFonts w:ascii="Arial" w:cs="Arial" w:eastAsia="Arial" w:hAnsi="Arial"/>
                <w:sz w:val="20"/>
                <w:szCs w:val="20"/>
              </w:rPr>
              <w:t xml:space="preserve">THE SCIENCE BEHIND IT</w:t>
            </w:r>
          </w:p>
        </w:tc>
        <w:tc>
          <w:tcPr>
            <w:tcW w:type="dxa" w:w="190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r>
              <w:rPr>
                <w:rFonts w:ascii="Arial" w:cs="Arial" w:eastAsia="Arial" w:hAnsi="Arial"/>
                <w:sz w:val="20"/>
                <w:szCs w:val="20"/>
              </w:rPr>
              <w:t xml:space="preserve">2:05 – 2:37</w:t>
            </w:r>
          </w:p>
        </w:tc>
        <w:tc>
          <w:tcPr>
            <w:tcW w:type="dxa" w:w="130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r>
              <w:rPr>
                <w:rFonts w:ascii="Arial" w:cs="Arial" w:eastAsia="Arial" w:hAnsi="Arial"/>
                <w:sz w:val="20"/>
                <w:szCs w:val="20"/>
              </w:rPr>
              <w:t xml:space="preserve">81</w:t>
            </w:r>
          </w:p>
        </w:tc>
        <w:tc>
          <w:tcPr>
            <w:tcW w:type="dxa" w:w="3146"/>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r>
              <w:rPr>
                <w:rFonts w:ascii="Arial" w:cs="Arial" w:eastAsia="Arial" w:hAnsi="Arial"/>
                <w:sz w:val="20"/>
                <w:szCs w:val="20"/>
              </w:rPr>
              <w:t xml:space="preserve">Earn credibility</w:t>
            </w:r>
          </w:p>
        </w:tc>
      </w:tr>
      <w:tr>
        <w:tc>
          <w:tcPr>
            <w:tcW w:type="dxa" w:w="3400"/>
            <w:tcBorders>
              <w:top w:val="single" w:color="D1D5DB" w:sz="4"/>
              <w:left w:val="single" w:color="D1D5DB" w:sz="4"/>
              <w:bottom w:val="single" w:color="D1D5DB" w:sz="4"/>
              <w:right w:val="single" w:color="D1D5DB" w:sz="4"/>
            </w:tcBorders>
            <w:tcMar>
              <w:top w:type="dxa" w:w="80"/>
              <w:left w:type="dxa" w:w="110"/>
              <w:bottom w:type="dxa" w:w="80"/>
              <w:right w:type="dxa" w:w="110"/>
            </w:tcMar>
          </w:tcPr>
          <w:p>
            <w:r>
              <w:rPr>
                <w:rFonts w:ascii="Arial" w:cs="Arial" w:eastAsia="Arial" w:hAnsi="Arial"/>
                <w:sz w:val="20"/>
                <w:szCs w:val="20"/>
              </w:rPr>
              <w:t xml:space="preserve">FROM HARMONIZATION TO FORESIGHT</w:t>
            </w:r>
          </w:p>
        </w:tc>
        <w:tc>
          <w:tcPr>
            <w:tcW w:type="dxa" w:w="1900"/>
            <w:tcBorders>
              <w:top w:val="single" w:color="D1D5DB" w:sz="4"/>
              <w:left w:val="single" w:color="D1D5DB" w:sz="4"/>
              <w:bottom w:val="single" w:color="D1D5DB" w:sz="4"/>
              <w:right w:val="single" w:color="D1D5DB" w:sz="4"/>
            </w:tcBorders>
            <w:tcMar>
              <w:top w:type="dxa" w:w="80"/>
              <w:left w:type="dxa" w:w="110"/>
              <w:bottom w:type="dxa" w:w="80"/>
              <w:right w:type="dxa" w:w="110"/>
            </w:tcMar>
          </w:tcPr>
          <w:p>
            <w:r>
              <w:rPr>
                <w:rFonts w:ascii="Arial" w:cs="Arial" w:eastAsia="Arial" w:hAnsi="Arial"/>
                <w:sz w:val="20"/>
                <w:szCs w:val="20"/>
              </w:rPr>
              <w:t xml:space="preserve">2:37 – 3:15</w:t>
            </w:r>
          </w:p>
        </w:tc>
        <w:tc>
          <w:tcPr>
            <w:tcW w:type="dxa" w:w="1300"/>
            <w:tcBorders>
              <w:top w:val="single" w:color="D1D5DB" w:sz="4"/>
              <w:left w:val="single" w:color="D1D5DB" w:sz="4"/>
              <w:bottom w:val="single" w:color="D1D5DB" w:sz="4"/>
              <w:right w:val="single" w:color="D1D5DB" w:sz="4"/>
            </w:tcBorders>
            <w:tcMar>
              <w:top w:type="dxa" w:w="80"/>
              <w:left w:type="dxa" w:w="110"/>
              <w:bottom w:type="dxa" w:w="80"/>
              <w:right w:type="dxa" w:w="110"/>
            </w:tcMar>
          </w:tcPr>
          <w:p>
            <w:r>
              <w:rPr>
                <w:rFonts w:ascii="Arial" w:cs="Arial" w:eastAsia="Arial" w:hAnsi="Arial"/>
                <w:sz w:val="20"/>
                <w:szCs w:val="20"/>
              </w:rPr>
              <w:t xml:space="preserve">89</w:t>
            </w:r>
          </w:p>
        </w:tc>
        <w:tc>
          <w:tcPr>
            <w:tcW w:type="dxa" w:w="3146"/>
            <w:tcBorders>
              <w:top w:val="single" w:color="D1D5DB" w:sz="4"/>
              <w:left w:val="single" w:color="D1D5DB" w:sz="4"/>
              <w:bottom w:val="single" w:color="D1D5DB" w:sz="4"/>
              <w:right w:val="single" w:color="D1D5DB" w:sz="4"/>
            </w:tcBorders>
            <w:tcMar>
              <w:top w:type="dxa" w:w="80"/>
              <w:left w:type="dxa" w:w="110"/>
              <w:bottom w:type="dxa" w:w="80"/>
              <w:right w:type="dxa" w:w="110"/>
            </w:tcMar>
          </w:tcPr>
          <w:p>
            <w:r>
              <w:rPr>
                <w:rFonts w:ascii="Arial" w:cs="Arial" w:eastAsia="Arial" w:hAnsi="Arial"/>
                <w:sz w:val="20"/>
                <w:szCs w:val="20"/>
              </w:rPr>
              <w:t xml:space="preserve">Vision &amp; payoff</w:t>
            </w:r>
          </w:p>
        </w:tc>
      </w:tr>
      <w:tr>
        <w:tc>
          <w:tcPr>
            <w:tcW w:type="dxa" w:w="340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r>
              <w:rPr>
                <w:rFonts w:ascii="Arial" w:cs="Arial" w:eastAsia="Arial" w:hAnsi="Arial"/>
                <w:sz w:val="20"/>
                <w:szCs w:val="20"/>
              </w:rPr>
              <w:t xml:space="preserve">TEAM &amp; CLOSING</w:t>
            </w:r>
          </w:p>
        </w:tc>
        <w:tc>
          <w:tcPr>
            <w:tcW w:type="dxa" w:w="190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r>
              <w:rPr>
                <w:rFonts w:ascii="Arial" w:cs="Arial" w:eastAsia="Arial" w:hAnsi="Arial"/>
                <w:sz w:val="20"/>
                <w:szCs w:val="20"/>
              </w:rPr>
              <w:t xml:space="preserve">3:15 – 4:00</w:t>
            </w:r>
          </w:p>
        </w:tc>
        <w:tc>
          <w:tcPr>
            <w:tcW w:type="dxa" w:w="130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r>
              <w:rPr>
                <w:rFonts w:ascii="Arial" w:cs="Arial" w:eastAsia="Arial" w:hAnsi="Arial"/>
                <w:sz w:val="20"/>
                <w:szCs w:val="20"/>
              </w:rPr>
              <w:t xml:space="preserve">73</w:t>
            </w:r>
          </w:p>
        </w:tc>
        <w:tc>
          <w:tcPr>
            <w:tcW w:type="dxa" w:w="3146"/>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r>
              <w:rPr>
                <w:rFonts w:ascii="Arial" w:cs="Arial" w:eastAsia="Arial" w:hAnsi="Arial"/>
                <w:sz w:val="20"/>
                <w:szCs w:val="20"/>
              </w:rPr>
              <w:t xml:space="preserve">Human &amp; memorable</w:t>
            </w:r>
          </w:p>
        </w:tc>
      </w:tr>
    </w:tbl>
    <w:p>
      <w:pPr>
        <w:pStyle w:val="Heading1"/>
        <w:spacing w:after="140" w:before="320"/>
      </w:pPr>
      <w:r>
        <w:rPr>
          <w:rFonts w:ascii="Arial" w:cs="Arial" w:eastAsia="Arial" w:hAnsi="Arial"/>
          <w:b/>
          <w:bCs/>
          <w:color w:val="C2410C"/>
          <w:sz w:val="28"/>
          <w:szCs w:val="28"/>
        </w:rPr>
        <w:t xml:space="preserve">Full script</w:t>
      </w:r>
    </w:p>
    <w:p>
      <w:pPr>
        <w:pStyle w:val="Heading2"/>
        <w:spacing w:after="100" w:before="200"/>
      </w:pPr>
      <w:r>
        <w:rPr>
          <w:rFonts w:ascii="Arial" w:cs="Arial" w:eastAsia="Arial" w:hAnsi="Arial"/>
          <w:b/>
          <w:bCs/>
          <w:color w:val="1F2937"/>
          <w:sz w:val="23"/>
          <w:szCs w:val="23"/>
        </w:rPr>
        <w:t xml:space="preserve">PART 1 — THE HOOK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0"/>
        <w:gridCol w:w="3400"/>
        <w:gridCol w:w="5096"/>
      </w:tblGrid>
      <w:tr>
        <w:trPr>
          <w:tblHeader/>
        </w:trPr>
        <w:tc>
          <w:tcPr>
            <w:tcW w:type="dxa" w:w="1250"/>
            <w:tcBorders>
              <w:top w:val="single" w:color="D1D5DB" w:sz="4"/>
              <w:left w:val="single" w:color="D1D5DB" w:sz="4"/>
              <w:bottom w:val="single" w:color="D1D5DB" w:sz="4"/>
              <w:right w:val="single" w:color="D1D5DB" w:sz="4"/>
            </w:tcBorders>
            <w:shd w:fill="C2410C" w:color="auto" w:val="clear"/>
            <w:tcMar>
              <w:top w:type="dxa" w:w="80"/>
              <w:left w:type="dxa" w:w="110"/>
              <w:bottom w:type="dxa" w:w="80"/>
              <w:right w:type="dxa" w:w="110"/>
            </w:tcMar>
          </w:tcPr>
          <w:p>
            <w:r>
              <w:rPr>
                <w:rFonts w:ascii="Arial" w:cs="Arial" w:eastAsia="Arial" w:hAnsi="Arial"/>
                <w:b/>
                <w:bCs/>
                <w:color w:val="FFFFFF"/>
                <w:sz w:val="20"/>
                <w:szCs w:val="20"/>
              </w:rPr>
              <w:t xml:space="preserve">Time</w:t>
            </w:r>
          </w:p>
        </w:tc>
        <w:tc>
          <w:tcPr>
            <w:tcW w:type="dxa" w:w="3400"/>
            <w:tcBorders>
              <w:top w:val="single" w:color="D1D5DB" w:sz="4"/>
              <w:left w:val="single" w:color="D1D5DB" w:sz="4"/>
              <w:bottom w:val="single" w:color="D1D5DB" w:sz="4"/>
              <w:right w:val="single" w:color="D1D5DB" w:sz="4"/>
            </w:tcBorders>
            <w:shd w:fill="C2410C" w:color="auto" w:val="clear"/>
            <w:tcMar>
              <w:top w:type="dxa" w:w="80"/>
              <w:left w:type="dxa" w:w="110"/>
              <w:bottom w:type="dxa" w:w="80"/>
              <w:right w:type="dxa" w:w="110"/>
            </w:tcMar>
          </w:tcPr>
          <w:p>
            <w:r>
              <w:rPr>
                <w:rFonts w:ascii="Arial" w:cs="Arial" w:eastAsia="Arial" w:hAnsi="Arial"/>
                <w:b/>
                <w:bCs/>
                <w:color w:val="FFFFFF"/>
                <w:sz w:val="20"/>
                <w:szCs w:val="20"/>
              </w:rPr>
              <w:t xml:space="preserve">On screen (not spoken)</w:t>
            </w:r>
          </w:p>
        </w:tc>
        <w:tc>
          <w:tcPr>
            <w:tcW w:type="dxa" w:w="5096"/>
            <w:tcBorders>
              <w:top w:val="single" w:color="D1D5DB" w:sz="4"/>
              <w:left w:val="single" w:color="D1D5DB" w:sz="4"/>
              <w:bottom w:val="single" w:color="D1D5DB" w:sz="4"/>
              <w:right w:val="single" w:color="D1D5DB" w:sz="4"/>
            </w:tcBorders>
            <w:shd w:fill="C2410C" w:color="auto" w:val="clear"/>
            <w:tcMar>
              <w:top w:type="dxa" w:w="80"/>
              <w:left w:type="dxa" w:w="110"/>
              <w:bottom w:type="dxa" w:w="80"/>
              <w:right w:type="dxa" w:w="110"/>
            </w:tcMar>
          </w:tcPr>
          <w:p>
            <w:r>
              <w:rPr>
                <w:rFonts w:ascii="Arial" w:cs="Arial" w:eastAsia="Arial" w:hAnsi="Arial"/>
                <w:b/>
                <w:bCs/>
                <w:color w:val="FFFFFF"/>
                <w:sz w:val="20"/>
                <w:szCs w:val="20"/>
              </w:rPr>
              <w:t xml:space="preserve">Voiceover (read this)</w:t>
            </w:r>
          </w:p>
        </w:tc>
      </w:tr>
      <w:tr>
        <w:tc>
          <w:tcPr>
            <w:tcW w:type="dxa" w:w="1250"/>
            <w:tcBorders>
              <w:top w:val="single" w:color="D1D5DB" w:sz="4"/>
              <w:left w:val="single" w:color="D1D5DB" w:sz="4"/>
              <w:bottom w:val="single" w:color="D1D5DB" w:sz="4"/>
              <w:right w:val="single" w:color="D1D5DB" w:sz="4"/>
            </w:tcBorders>
            <w:tcMar>
              <w:top w:type="dxa" w:w="80"/>
              <w:left w:type="dxa" w:w="110"/>
              <w:bottom w:type="dxa" w:w="80"/>
              <w:right w:type="dxa" w:w="110"/>
            </w:tcMar>
          </w:tcPr>
          <w:p>
            <w:r>
              <w:rPr>
                <w:rFonts w:ascii="Arial" w:cs="Arial" w:eastAsia="Arial" w:hAnsi="Arial"/>
                <w:b/>
                <w:bCs/>
                <w:sz w:val="19"/>
                <w:szCs w:val="19"/>
              </w:rPr>
              <w:t xml:space="preserve">0:00 – 0:25</w:t>
            </w:r>
          </w:p>
        </w:tc>
        <w:tc>
          <w:tcPr>
            <w:tcW w:type="dxa" w:w="340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r>
              <w:rPr>
                <w:rFonts w:ascii="Arial" w:cs="Arial" w:eastAsia="Arial" w:hAnsi="Arial"/>
                <w:i/>
                <w:iCs/>
                <w:color w:val="4B5563"/>
                <w:sz w:val="19"/>
                <w:szCs w:val="19"/>
              </w:rPr>
              <w:t xml:space="preserve">Black screen. A single line-chart cliff: fire count jumps 4× at 2012 (red glow). Hard cut to a split-screen of the same fire seen as 1 big MODIS pixel vs 7–9 small VIIRS dots. Logo reveal: EmberSync.</w:t>
            </w:r>
          </w:p>
        </w:tc>
        <w:tc>
          <w:tcPr>
            <w:tcW w:type="dxa" w:w="5096"/>
            <w:tcBorders>
              <w:top w:val="single" w:color="D1D5DB" w:sz="4"/>
              <w:left w:val="single" w:color="D1D5DB" w:sz="4"/>
              <w:bottom w:val="single" w:color="D1D5DB" w:sz="4"/>
              <w:right w:val="single" w:color="D1D5DB" w:sz="4"/>
            </w:tcBorders>
            <w:shd w:fill="FFF4E6" w:color="auto" w:val="clear"/>
            <w:tcMar>
              <w:top w:type="dxa" w:w="80"/>
              <w:left w:type="dxa" w:w="110"/>
              <w:bottom w:type="dxa" w:w="80"/>
              <w:right w:type="dxa" w:w="110"/>
            </w:tcMar>
          </w:tcPr>
          <w:p>
            <w:pPr>
              <w:spacing w:line="300"/>
            </w:pPr>
            <w:r>
              <w:rPr>
                <w:rFonts w:ascii="Arial" w:cs="Arial" w:eastAsia="Arial" w:hAnsi="Arial"/>
                <w:sz w:val="22"/>
                <w:szCs w:val="22"/>
              </w:rPr>
              <w:t xml:space="preserve">In 2012, global wildfires appeared to quadruple. But nothing burned four times harder — the satellite simply got a sharper lens. One fire, one new sensor, and suddenly one flame became seven to nine alerts. We are Team [Insert Team Name], and this is EmberSync — the harmonized Burning Activity Calendar that makes twenty years of fire data finally tell the truth.</w:t>
            </w:r>
          </w:p>
        </w:tc>
      </w:tr>
    </w:tbl>
    <w:p>
      <w:pPr>
        <w:pStyle w:val="Heading2"/>
        <w:spacing w:after="100" w:before="200"/>
      </w:pPr>
      <w:r>
        <w:rPr>
          <w:rFonts w:ascii="Arial" w:cs="Arial" w:eastAsia="Arial" w:hAnsi="Arial"/>
          <w:b/>
          <w:bCs/>
          <w:color w:val="1F2937"/>
          <w:sz w:val="23"/>
          <w:szCs w:val="23"/>
        </w:rPr>
        <w:t xml:space="preserve">PART 2 — THE PROBLEM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0"/>
        <w:gridCol w:w="3400"/>
        <w:gridCol w:w="5096"/>
      </w:tblGrid>
      <w:tr>
        <w:trPr>
          <w:tblHeader/>
        </w:trPr>
        <w:tc>
          <w:tcPr>
            <w:tcW w:type="dxa" w:w="1250"/>
            <w:tcBorders>
              <w:top w:val="single" w:color="D1D5DB" w:sz="4"/>
              <w:left w:val="single" w:color="D1D5DB" w:sz="4"/>
              <w:bottom w:val="single" w:color="D1D5DB" w:sz="4"/>
              <w:right w:val="single" w:color="D1D5DB" w:sz="4"/>
            </w:tcBorders>
            <w:shd w:fill="C2410C" w:color="auto" w:val="clear"/>
            <w:tcMar>
              <w:top w:type="dxa" w:w="80"/>
              <w:left w:type="dxa" w:w="110"/>
              <w:bottom w:type="dxa" w:w="80"/>
              <w:right w:type="dxa" w:w="110"/>
            </w:tcMar>
          </w:tcPr>
          <w:p>
            <w:r>
              <w:rPr>
                <w:rFonts w:ascii="Arial" w:cs="Arial" w:eastAsia="Arial" w:hAnsi="Arial"/>
                <w:b/>
                <w:bCs/>
                <w:color w:val="FFFFFF"/>
                <w:sz w:val="20"/>
                <w:szCs w:val="20"/>
              </w:rPr>
              <w:t xml:space="preserve">Time</w:t>
            </w:r>
          </w:p>
        </w:tc>
        <w:tc>
          <w:tcPr>
            <w:tcW w:type="dxa" w:w="3400"/>
            <w:tcBorders>
              <w:top w:val="single" w:color="D1D5DB" w:sz="4"/>
              <w:left w:val="single" w:color="D1D5DB" w:sz="4"/>
              <w:bottom w:val="single" w:color="D1D5DB" w:sz="4"/>
              <w:right w:val="single" w:color="D1D5DB" w:sz="4"/>
            </w:tcBorders>
            <w:shd w:fill="C2410C" w:color="auto" w:val="clear"/>
            <w:tcMar>
              <w:top w:type="dxa" w:w="80"/>
              <w:left w:type="dxa" w:w="110"/>
              <w:bottom w:type="dxa" w:w="80"/>
              <w:right w:type="dxa" w:w="110"/>
            </w:tcMar>
          </w:tcPr>
          <w:p>
            <w:r>
              <w:rPr>
                <w:rFonts w:ascii="Arial" w:cs="Arial" w:eastAsia="Arial" w:hAnsi="Arial"/>
                <w:b/>
                <w:bCs/>
                <w:color w:val="FFFFFF"/>
                <w:sz w:val="20"/>
                <w:szCs w:val="20"/>
              </w:rPr>
              <w:t xml:space="preserve">On screen (not spoken)</w:t>
            </w:r>
          </w:p>
        </w:tc>
        <w:tc>
          <w:tcPr>
            <w:tcW w:type="dxa" w:w="5096"/>
            <w:tcBorders>
              <w:top w:val="single" w:color="D1D5DB" w:sz="4"/>
              <w:left w:val="single" w:color="D1D5DB" w:sz="4"/>
              <w:bottom w:val="single" w:color="D1D5DB" w:sz="4"/>
              <w:right w:val="single" w:color="D1D5DB" w:sz="4"/>
            </w:tcBorders>
            <w:shd w:fill="C2410C" w:color="auto" w:val="clear"/>
            <w:tcMar>
              <w:top w:type="dxa" w:w="80"/>
              <w:left w:type="dxa" w:w="110"/>
              <w:bottom w:type="dxa" w:w="80"/>
              <w:right w:type="dxa" w:w="110"/>
            </w:tcMar>
          </w:tcPr>
          <w:p>
            <w:r>
              <w:rPr>
                <w:rFonts w:ascii="Arial" w:cs="Arial" w:eastAsia="Arial" w:hAnsi="Arial"/>
                <w:b/>
                <w:bCs/>
                <w:color w:val="FFFFFF"/>
                <w:sz w:val="20"/>
                <w:szCs w:val="20"/>
              </w:rPr>
              <w:t xml:space="preserve">Voiceover (read this)</w:t>
            </w:r>
          </w:p>
        </w:tc>
      </w:tr>
      <w:tr>
        <w:tc>
          <w:tcPr>
            <w:tcW w:type="dxa" w:w="1250"/>
            <w:tcBorders>
              <w:top w:val="single" w:color="D1D5DB" w:sz="4"/>
              <w:left w:val="single" w:color="D1D5DB" w:sz="4"/>
              <w:bottom w:val="single" w:color="D1D5DB" w:sz="4"/>
              <w:right w:val="single" w:color="D1D5DB" w:sz="4"/>
            </w:tcBorders>
            <w:tcMar>
              <w:top w:type="dxa" w:w="80"/>
              <w:left w:type="dxa" w:w="110"/>
              <w:bottom w:type="dxa" w:w="80"/>
              <w:right w:type="dxa" w:w="110"/>
            </w:tcMar>
          </w:tcPr>
          <w:p>
            <w:r>
              <w:rPr>
                <w:rFonts w:ascii="Arial" w:cs="Arial" w:eastAsia="Arial" w:hAnsi="Arial"/>
                <w:b/>
                <w:bCs/>
                <w:sz w:val="19"/>
                <w:szCs w:val="19"/>
              </w:rPr>
              <w:t xml:space="preserve">0:25 – 0:55</w:t>
            </w:r>
          </w:p>
        </w:tc>
        <w:tc>
          <w:tcPr>
            <w:tcW w:type="dxa" w:w="340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r>
              <w:rPr>
                <w:rFonts w:ascii="Arial" w:cs="Arial" w:eastAsia="Arial" w:hAnsi="Arial"/>
                <w:i/>
                <w:iCs/>
                <w:color w:val="4B5563"/>
                <w:sz w:val="19"/>
                <w:szCs w:val="19"/>
              </w:rPr>
              <w:t xml:space="preserve">Timeline 2000 → 2024. MODIS 1 km footprint shrinks into VIIRS 375 m grid (one square splits into 7–9). Then four biome maps appear one by one with an icon each: mountain, rainforest, farmland, savanna.</w:t>
            </w:r>
          </w:p>
        </w:tc>
        <w:tc>
          <w:tcPr>
            <w:tcW w:type="dxa" w:w="5096"/>
            <w:tcBorders>
              <w:top w:val="single" w:color="D1D5DB" w:sz="4"/>
              <w:left w:val="single" w:color="D1D5DB" w:sz="4"/>
              <w:bottom w:val="single" w:color="D1D5DB" w:sz="4"/>
              <w:right w:val="single" w:color="D1D5DB" w:sz="4"/>
            </w:tcBorders>
            <w:shd w:fill="FFF4E6" w:color="auto" w:val="clear"/>
            <w:tcMar>
              <w:top w:type="dxa" w:w="80"/>
              <w:left w:type="dxa" w:w="110"/>
              <w:bottom w:type="dxa" w:w="80"/>
              <w:right w:type="dxa" w:w="110"/>
            </w:tcMar>
          </w:tcPr>
          <w:p>
            <w:pPr>
              <w:spacing w:line="300"/>
            </w:pPr>
            <w:r>
              <w:rPr>
                <w:rFonts w:ascii="Arial" w:cs="Arial" w:eastAsia="Arial" w:hAnsi="Arial"/>
                <w:sz w:val="22"/>
                <w:szCs w:val="22"/>
              </w:rPr>
              <w:t xml:space="preserve">From 2000 to 2011, MODIS watched Earth at one-kilometer resolution and missed the small, cool burns — crop residue, understory fires. Then VIIRS arrived at 375 meters. Far more sensitive — but that broke the timeline. And fire behaves differently everywhere, so one formula can’t fix it. We audited NASA FIRMS data across four biomes: Western North America’s mountains, the Amazon rainforest, South Asia’s farmland, and Southern Africa’s savannas.</w:t>
            </w:r>
          </w:p>
        </w:tc>
      </w:tr>
    </w:tbl>
    <w:p>
      <w:pPr>
        <w:pStyle w:val="Heading2"/>
        <w:spacing w:after="100" w:before="200"/>
      </w:pPr>
      <w:r>
        <w:rPr>
          <w:rFonts w:ascii="Arial" w:cs="Arial" w:eastAsia="Arial" w:hAnsi="Arial"/>
          <w:b/>
          <w:bCs/>
          <w:color w:val="1F2937"/>
          <w:sz w:val="23"/>
          <w:szCs w:val="23"/>
        </w:rPr>
        <w:t xml:space="preserve">PART 3 — THE SOLUTION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0"/>
        <w:gridCol w:w="3400"/>
        <w:gridCol w:w="5096"/>
      </w:tblGrid>
      <w:tr>
        <w:trPr>
          <w:tblHeader/>
        </w:trPr>
        <w:tc>
          <w:tcPr>
            <w:tcW w:type="dxa" w:w="1250"/>
            <w:tcBorders>
              <w:top w:val="single" w:color="D1D5DB" w:sz="4"/>
              <w:left w:val="single" w:color="D1D5DB" w:sz="4"/>
              <w:bottom w:val="single" w:color="D1D5DB" w:sz="4"/>
              <w:right w:val="single" w:color="D1D5DB" w:sz="4"/>
            </w:tcBorders>
            <w:shd w:fill="C2410C" w:color="auto" w:val="clear"/>
            <w:tcMar>
              <w:top w:type="dxa" w:w="80"/>
              <w:left w:type="dxa" w:w="110"/>
              <w:bottom w:type="dxa" w:w="80"/>
              <w:right w:type="dxa" w:w="110"/>
            </w:tcMar>
          </w:tcPr>
          <w:p>
            <w:r>
              <w:rPr>
                <w:rFonts w:ascii="Arial" w:cs="Arial" w:eastAsia="Arial" w:hAnsi="Arial"/>
                <w:b/>
                <w:bCs/>
                <w:color w:val="FFFFFF"/>
                <w:sz w:val="20"/>
                <w:szCs w:val="20"/>
              </w:rPr>
              <w:t xml:space="preserve">Time</w:t>
            </w:r>
          </w:p>
        </w:tc>
        <w:tc>
          <w:tcPr>
            <w:tcW w:type="dxa" w:w="3400"/>
            <w:tcBorders>
              <w:top w:val="single" w:color="D1D5DB" w:sz="4"/>
              <w:left w:val="single" w:color="D1D5DB" w:sz="4"/>
              <w:bottom w:val="single" w:color="D1D5DB" w:sz="4"/>
              <w:right w:val="single" w:color="D1D5DB" w:sz="4"/>
            </w:tcBorders>
            <w:shd w:fill="C2410C" w:color="auto" w:val="clear"/>
            <w:tcMar>
              <w:top w:type="dxa" w:w="80"/>
              <w:left w:type="dxa" w:w="110"/>
              <w:bottom w:type="dxa" w:w="80"/>
              <w:right w:type="dxa" w:w="110"/>
            </w:tcMar>
          </w:tcPr>
          <w:p>
            <w:r>
              <w:rPr>
                <w:rFonts w:ascii="Arial" w:cs="Arial" w:eastAsia="Arial" w:hAnsi="Arial"/>
                <w:b/>
                <w:bCs/>
                <w:color w:val="FFFFFF"/>
                <w:sz w:val="20"/>
                <w:szCs w:val="20"/>
              </w:rPr>
              <w:t xml:space="preserve">On screen (not spoken)</w:t>
            </w:r>
          </w:p>
        </w:tc>
        <w:tc>
          <w:tcPr>
            <w:tcW w:type="dxa" w:w="5096"/>
            <w:tcBorders>
              <w:top w:val="single" w:color="D1D5DB" w:sz="4"/>
              <w:left w:val="single" w:color="D1D5DB" w:sz="4"/>
              <w:bottom w:val="single" w:color="D1D5DB" w:sz="4"/>
              <w:right w:val="single" w:color="D1D5DB" w:sz="4"/>
            </w:tcBorders>
            <w:shd w:fill="C2410C" w:color="auto" w:val="clear"/>
            <w:tcMar>
              <w:top w:type="dxa" w:w="80"/>
              <w:left w:type="dxa" w:w="110"/>
              <w:bottom w:type="dxa" w:w="80"/>
              <w:right w:type="dxa" w:w="110"/>
            </w:tcMar>
          </w:tcPr>
          <w:p>
            <w:r>
              <w:rPr>
                <w:rFonts w:ascii="Arial" w:cs="Arial" w:eastAsia="Arial" w:hAnsi="Arial"/>
                <w:b/>
                <w:bCs/>
                <w:color w:val="FFFFFF"/>
                <w:sz w:val="20"/>
                <w:szCs w:val="20"/>
              </w:rPr>
              <w:t xml:space="preserve">Voiceover (read this)</w:t>
            </w:r>
          </w:p>
        </w:tc>
      </w:tr>
      <w:tr>
        <w:tc>
          <w:tcPr>
            <w:tcW w:type="dxa" w:w="1250"/>
            <w:tcBorders>
              <w:top w:val="single" w:color="D1D5DB" w:sz="4"/>
              <w:left w:val="single" w:color="D1D5DB" w:sz="4"/>
              <w:bottom w:val="single" w:color="D1D5DB" w:sz="4"/>
              <w:right w:val="single" w:color="D1D5DB" w:sz="4"/>
            </w:tcBorders>
            <w:tcMar>
              <w:top w:type="dxa" w:w="80"/>
              <w:left w:type="dxa" w:w="110"/>
              <w:bottom w:type="dxa" w:w="80"/>
              <w:right w:type="dxa" w:w="110"/>
            </w:tcMar>
          </w:tcPr>
          <w:p>
            <w:r>
              <w:rPr>
                <w:rFonts w:ascii="Arial" w:cs="Arial" w:eastAsia="Arial" w:hAnsi="Arial"/>
                <w:b/>
                <w:bCs/>
                <w:sz w:val="19"/>
                <w:szCs w:val="19"/>
              </w:rPr>
              <w:t xml:space="preserve">0:55 – 2:05</w:t>
            </w:r>
          </w:p>
        </w:tc>
        <w:tc>
          <w:tcPr>
            <w:tcW w:type="dxa" w:w="340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r>
              <w:rPr>
                <w:rFonts w:ascii="Arial" w:cs="Arial" w:eastAsia="Arial" w:hAnsi="Arial"/>
                <w:i/>
                <w:iCs/>
                <w:color w:val="4B5563"/>
                <w:sz w:val="19"/>
                <w:szCs w:val="19"/>
              </w:rPr>
              <w:t xml:space="preserve">Live dashboard screen-recording. Big on-screen numbers pop as they are spoken: “44.4%”, “30 generations”, “4,751”, “98.4%”. Show the GA fitness curve climbing, the clustered map, the 365-day calendar heatmap, and end on the Before/After slider dragging across 2012.</w:t>
            </w:r>
          </w:p>
        </w:tc>
        <w:tc>
          <w:tcPr>
            <w:tcW w:type="dxa" w:w="5096"/>
            <w:tcBorders>
              <w:top w:val="single" w:color="D1D5DB" w:sz="4"/>
              <w:left w:val="single" w:color="D1D5DB" w:sz="4"/>
              <w:bottom w:val="single" w:color="D1D5DB" w:sz="4"/>
              <w:right w:val="single" w:color="D1D5DB" w:sz="4"/>
            </w:tcBorders>
            <w:shd w:fill="FFF4E6" w:color="auto" w:val="clear"/>
            <w:tcMar>
              <w:top w:type="dxa" w:w="80"/>
              <w:left w:type="dxa" w:w="110"/>
              <w:bottom w:type="dxa" w:w="80"/>
              <w:right w:type="dxa" w:w="110"/>
            </w:tcMar>
          </w:tcPr>
          <w:p>
            <w:pPr>
              <w:spacing w:line="300"/>
            </w:pPr>
            <w:r>
              <w:rPr>
                <w:rFonts w:ascii="Arial" w:cs="Arial" w:eastAsia="Arial" w:hAnsi="Arial"/>
                <w:sz w:val="22"/>
                <w:szCs w:val="22"/>
              </w:rPr>
              <w:t xml:space="preserve">So we built a three-stage harmonization engine. Stage one: spatio-temporal clustering. Instead of counting every sub-pixel ping as a new fire, we merge duplicates inside the same physical burn footprint — removing 44.4 percent of artificial inflation while conserving total Fire Radiative Power. Stage two is our core innovation: a multi-objective genetic algorithm. Evolving over thirty generations and validated against 4,751 dual-satellite detections, it discovered the best clustering radius for each biome — from 0.91 kilometers in savannas to 1.47 in agricultural plains — plus a power-law calibration that closes the energy gap between the sensors with a 98.4 percent fit. Stage three: the Burning Activity Calendar. A 365-day heatmap, scored against the historical baseline by a Z-score anomaly engine, flagging when a fire season starts early or burns beyond normal. And watch this slider: raw data shows a cliff in 2012. Harmonized data shows one continuous timeline.</w:t>
            </w:r>
          </w:p>
        </w:tc>
      </w:tr>
    </w:tbl>
    <w:p>
      <w:pPr>
        <w:pStyle w:val="Heading2"/>
        <w:spacing w:after="100" w:before="200"/>
      </w:pPr>
      <w:r>
        <w:rPr>
          <w:rFonts w:ascii="Arial" w:cs="Arial" w:eastAsia="Arial" w:hAnsi="Arial"/>
          <w:b/>
          <w:bCs/>
          <w:color w:val="1F2937"/>
          <w:sz w:val="23"/>
          <w:szCs w:val="23"/>
        </w:rPr>
        <w:t xml:space="preserve">PART 4 — THE SCIENCE BEHIND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0"/>
        <w:gridCol w:w="3400"/>
        <w:gridCol w:w="5096"/>
      </w:tblGrid>
      <w:tr>
        <w:trPr>
          <w:tblHeader/>
        </w:trPr>
        <w:tc>
          <w:tcPr>
            <w:tcW w:type="dxa" w:w="1250"/>
            <w:tcBorders>
              <w:top w:val="single" w:color="D1D5DB" w:sz="4"/>
              <w:left w:val="single" w:color="D1D5DB" w:sz="4"/>
              <w:bottom w:val="single" w:color="D1D5DB" w:sz="4"/>
              <w:right w:val="single" w:color="D1D5DB" w:sz="4"/>
            </w:tcBorders>
            <w:shd w:fill="C2410C" w:color="auto" w:val="clear"/>
            <w:tcMar>
              <w:top w:type="dxa" w:w="80"/>
              <w:left w:type="dxa" w:w="110"/>
              <w:bottom w:type="dxa" w:w="80"/>
              <w:right w:type="dxa" w:w="110"/>
            </w:tcMar>
          </w:tcPr>
          <w:p>
            <w:r>
              <w:rPr>
                <w:rFonts w:ascii="Arial" w:cs="Arial" w:eastAsia="Arial" w:hAnsi="Arial"/>
                <w:b/>
                <w:bCs/>
                <w:color w:val="FFFFFF"/>
                <w:sz w:val="20"/>
                <w:szCs w:val="20"/>
              </w:rPr>
              <w:t xml:space="preserve">Time</w:t>
            </w:r>
          </w:p>
        </w:tc>
        <w:tc>
          <w:tcPr>
            <w:tcW w:type="dxa" w:w="3400"/>
            <w:tcBorders>
              <w:top w:val="single" w:color="D1D5DB" w:sz="4"/>
              <w:left w:val="single" w:color="D1D5DB" w:sz="4"/>
              <w:bottom w:val="single" w:color="D1D5DB" w:sz="4"/>
              <w:right w:val="single" w:color="D1D5DB" w:sz="4"/>
            </w:tcBorders>
            <w:shd w:fill="C2410C" w:color="auto" w:val="clear"/>
            <w:tcMar>
              <w:top w:type="dxa" w:w="80"/>
              <w:left w:type="dxa" w:w="110"/>
              <w:bottom w:type="dxa" w:w="80"/>
              <w:right w:type="dxa" w:w="110"/>
            </w:tcMar>
          </w:tcPr>
          <w:p>
            <w:r>
              <w:rPr>
                <w:rFonts w:ascii="Arial" w:cs="Arial" w:eastAsia="Arial" w:hAnsi="Arial"/>
                <w:b/>
                <w:bCs/>
                <w:color w:val="FFFFFF"/>
                <w:sz w:val="20"/>
                <w:szCs w:val="20"/>
              </w:rPr>
              <w:t xml:space="preserve">On screen (not spoken)</w:t>
            </w:r>
          </w:p>
        </w:tc>
        <w:tc>
          <w:tcPr>
            <w:tcW w:type="dxa" w:w="5096"/>
            <w:tcBorders>
              <w:top w:val="single" w:color="D1D5DB" w:sz="4"/>
              <w:left w:val="single" w:color="D1D5DB" w:sz="4"/>
              <w:bottom w:val="single" w:color="D1D5DB" w:sz="4"/>
              <w:right w:val="single" w:color="D1D5DB" w:sz="4"/>
            </w:tcBorders>
            <w:shd w:fill="C2410C" w:color="auto" w:val="clear"/>
            <w:tcMar>
              <w:top w:type="dxa" w:w="80"/>
              <w:left w:type="dxa" w:w="110"/>
              <w:bottom w:type="dxa" w:w="80"/>
              <w:right w:type="dxa" w:w="110"/>
            </w:tcMar>
          </w:tcPr>
          <w:p>
            <w:r>
              <w:rPr>
                <w:rFonts w:ascii="Arial" w:cs="Arial" w:eastAsia="Arial" w:hAnsi="Arial"/>
                <w:b/>
                <w:bCs/>
                <w:color w:val="FFFFFF"/>
                <w:sz w:val="20"/>
                <w:szCs w:val="20"/>
              </w:rPr>
              <w:t xml:space="preserve">Voiceover (read this)</w:t>
            </w:r>
          </w:p>
        </w:tc>
      </w:tr>
      <w:tr>
        <w:tc>
          <w:tcPr>
            <w:tcW w:type="dxa" w:w="1250"/>
            <w:tcBorders>
              <w:top w:val="single" w:color="D1D5DB" w:sz="4"/>
              <w:left w:val="single" w:color="D1D5DB" w:sz="4"/>
              <w:bottom w:val="single" w:color="D1D5DB" w:sz="4"/>
              <w:right w:val="single" w:color="D1D5DB" w:sz="4"/>
            </w:tcBorders>
            <w:tcMar>
              <w:top w:type="dxa" w:w="80"/>
              <w:left w:type="dxa" w:w="110"/>
              <w:bottom w:type="dxa" w:w="80"/>
              <w:right w:type="dxa" w:w="110"/>
            </w:tcMar>
          </w:tcPr>
          <w:p>
            <w:r>
              <w:rPr>
                <w:rFonts w:ascii="Arial" w:cs="Arial" w:eastAsia="Arial" w:hAnsi="Arial"/>
                <w:b/>
                <w:bCs/>
                <w:sz w:val="19"/>
                <w:szCs w:val="19"/>
              </w:rPr>
              <w:t xml:space="preserve">2:05 – 2:37</w:t>
            </w:r>
          </w:p>
        </w:tc>
        <w:tc>
          <w:tcPr>
            <w:tcW w:type="dxa" w:w="340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r>
              <w:rPr>
                <w:rFonts w:ascii="Arial" w:cs="Arial" w:eastAsia="Arial" w:hAnsi="Arial"/>
                <w:i/>
                <w:iCs/>
                <w:color w:val="4B5563"/>
                <w:sz w:val="19"/>
                <w:szCs w:val="19"/>
              </w:rPr>
              <w:t xml:space="preserve">Slide: “Grounded in NASA Literature”. Three paper headers appear one by one (Giglio 2016 → Li 2018 → Fu 2020), each with one highlighted finding. Small “also builds on” line for Balashov, Bilgili, Elvidge.</w:t>
            </w:r>
          </w:p>
        </w:tc>
        <w:tc>
          <w:tcPr>
            <w:tcW w:type="dxa" w:w="5096"/>
            <w:tcBorders>
              <w:top w:val="single" w:color="D1D5DB" w:sz="4"/>
              <w:left w:val="single" w:color="D1D5DB" w:sz="4"/>
              <w:bottom w:val="single" w:color="D1D5DB" w:sz="4"/>
              <w:right w:val="single" w:color="D1D5DB" w:sz="4"/>
            </w:tcBorders>
            <w:shd w:fill="FFF4E6" w:color="auto" w:val="clear"/>
            <w:tcMar>
              <w:top w:type="dxa" w:w="80"/>
              <w:left w:type="dxa" w:w="110"/>
              <w:bottom w:type="dxa" w:w="80"/>
              <w:right w:type="dxa" w:w="110"/>
            </w:tcMar>
          </w:tcPr>
          <w:p>
            <w:pPr>
              <w:spacing w:line="300"/>
            </w:pPr>
            <w:r>
              <w:rPr>
                <w:rFonts w:ascii="Arial" w:cs="Arial" w:eastAsia="Arial" w:hAnsi="Arial"/>
                <w:sz w:val="22"/>
                <w:szCs w:val="22"/>
              </w:rPr>
              <w:t xml:space="preserve">And this isn’t guesswork — it’s grounded in the literature. Giglio and colleagues defined the MODIS Collection 6 fire product we build on. Li and colleagues showed that MODIS fire measurements depend strongly on viewing angle, with FRP differing by roughly twenty percent between sensors in fire-prone regions — the gap our calibration closes. And Fu and colleagues found MODIS missed eighty-three percent of VIIRS-detected fires in croplands and grasslands — which is why our clustering radius adapts to every biome.</w:t>
            </w:r>
          </w:p>
        </w:tc>
      </w:tr>
    </w:tbl>
    <w:p>
      <w:pPr>
        <w:pStyle w:val="Heading2"/>
        <w:spacing w:after="100" w:before="200"/>
      </w:pPr>
      <w:r>
        <w:rPr>
          <w:rFonts w:ascii="Arial" w:cs="Arial" w:eastAsia="Arial" w:hAnsi="Arial"/>
          <w:b/>
          <w:bCs/>
          <w:color w:val="1F2937"/>
          <w:sz w:val="23"/>
          <w:szCs w:val="23"/>
        </w:rPr>
        <w:t xml:space="preserve">PART 5 — FROM HARMONIZATION TO FORESIGHT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0"/>
        <w:gridCol w:w="3400"/>
        <w:gridCol w:w="5096"/>
      </w:tblGrid>
      <w:tr>
        <w:trPr>
          <w:tblHeader/>
        </w:trPr>
        <w:tc>
          <w:tcPr>
            <w:tcW w:type="dxa" w:w="1250"/>
            <w:tcBorders>
              <w:top w:val="single" w:color="D1D5DB" w:sz="4"/>
              <w:left w:val="single" w:color="D1D5DB" w:sz="4"/>
              <w:bottom w:val="single" w:color="D1D5DB" w:sz="4"/>
              <w:right w:val="single" w:color="D1D5DB" w:sz="4"/>
            </w:tcBorders>
            <w:shd w:fill="C2410C" w:color="auto" w:val="clear"/>
            <w:tcMar>
              <w:top w:type="dxa" w:w="80"/>
              <w:left w:type="dxa" w:w="110"/>
              <w:bottom w:type="dxa" w:w="80"/>
              <w:right w:type="dxa" w:w="110"/>
            </w:tcMar>
          </w:tcPr>
          <w:p>
            <w:r>
              <w:rPr>
                <w:rFonts w:ascii="Arial" w:cs="Arial" w:eastAsia="Arial" w:hAnsi="Arial"/>
                <w:b/>
                <w:bCs/>
                <w:color w:val="FFFFFF"/>
                <w:sz w:val="20"/>
                <w:szCs w:val="20"/>
              </w:rPr>
              <w:t xml:space="preserve">Time</w:t>
            </w:r>
          </w:p>
        </w:tc>
        <w:tc>
          <w:tcPr>
            <w:tcW w:type="dxa" w:w="3400"/>
            <w:tcBorders>
              <w:top w:val="single" w:color="D1D5DB" w:sz="4"/>
              <w:left w:val="single" w:color="D1D5DB" w:sz="4"/>
              <w:bottom w:val="single" w:color="D1D5DB" w:sz="4"/>
              <w:right w:val="single" w:color="D1D5DB" w:sz="4"/>
            </w:tcBorders>
            <w:shd w:fill="C2410C" w:color="auto" w:val="clear"/>
            <w:tcMar>
              <w:top w:type="dxa" w:w="80"/>
              <w:left w:type="dxa" w:w="110"/>
              <w:bottom w:type="dxa" w:w="80"/>
              <w:right w:type="dxa" w:w="110"/>
            </w:tcMar>
          </w:tcPr>
          <w:p>
            <w:r>
              <w:rPr>
                <w:rFonts w:ascii="Arial" w:cs="Arial" w:eastAsia="Arial" w:hAnsi="Arial"/>
                <w:b/>
                <w:bCs/>
                <w:color w:val="FFFFFF"/>
                <w:sz w:val="20"/>
                <w:szCs w:val="20"/>
              </w:rPr>
              <w:t xml:space="preserve">On screen (not spoken)</w:t>
            </w:r>
          </w:p>
        </w:tc>
        <w:tc>
          <w:tcPr>
            <w:tcW w:type="dxa" w:w="5096"/>
            <w:tcBorders>
              <w:top w:val="single" w:color="D1D5DB" w:sz="4"/>
              <w:left w:val="single" w:color="D1D5DB" w:sz="4"/>
              <w:bottom w:val="single" w:color="D1D5DB" w:sz="4"/>
              <w:right w:val="single" w:color="D1D5DB" w:sz="4"/>
            </w:tcBorders>
            <w:shd w:fill="C2410C" w:color="auto" w:val="clear"/>
            <w:tcMar>
              <w:top w:type="dxa" w:w="80"/>
              <w:left w:type="dxa" w:w="110"/>
              <w:bottom w:type="dxa" w:w="80"/>
              <w:right w:type="dxa" w:w="110"/>
            </w:tcMar>
          </w:tcPr>
          <w:p>
            <w:r>
              <w:rPr>
                <w:rFonts w:ascii="Arial" w:cs="Arial" w:eastAsia="Arial" w:hAnsi="Arial"/>
                <w:b/>
                <w:bCs/>
                <w:color w:val="FFFFFF"/>
                <w:sz w:val="20"/>
                <w:szCs w:val="20"/>
              </w:rPr>
              <w:t xml:space="preserve">Voiceover (read this)</w:t>
            </w:r>
          </w:p>
        </w:tc>
      </w:tr>
      <w:tr>
        <w:tc>
          <w:tcPr>
            <w:tcW w:type="dxa" w:w="1250"/>
            <w:tcBorders>
              <w:top w:val="single" w:color="D1D5DB" w:sz="4"/>
              <w:left w:val="single" w:color="D1D5DB" w:sz="4"/>
              <w:bottom w:val="single" w:color="D1D5DB" w:sz="4"/>
              <w:right w:val="single" w:color="D1D5DB" w:sz="4"/>
            </w:tcBorders>
            <w:tcMar>
              <w:top w:type="dxa" w:w="80"/>
              <w:left w:type="dxa" w:w="110"/>
              <w:bottom w:type="dxa" w:w="80"/>
              <w:right w:type="dxa" w:w="110"/>
            </w:tcMar>
          </w:tcPr>
          <w:p>
            <w:r>
              <w:rPr>
                <w:rFonts w:ascii="Arial" w:cs="Arial" w:eastAsia="Arial" w:hAnsi="Arial"/>
                <w:b/>
                <w:bCs/>
                <w:sz w:val="19"/>
                <w:szCs w:val="19"/>
              </w:rPr>
              <w:t xml:space="preserve">2:37 – 3:15</w:t>
            </w:r>
          </w:p>
        </w:tc>
        <w:tc>
          <w:tcPr>
            <w:tcW w:type="dxa" w:w="340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r>
              <w:rPr>
                <w:rFonts w:ascii="Arial" w:cs="Arial" w:eastAsia="Arial" w:hAnsi="Arial"/>
                <w:i/>
                <w:iCs/>
                <w:color w:val="4B5563"/>
                <w:sz w:val="19"/>
                <w:szCs w:val="19"/>
              </w:rPr>
              <w:t xml:space="preserve">Slide: “From Harmonization to Foresight”. Left: time-series forecast curve extending past today with a shaded confidence band. Right: SHAP-style bar chart (label it “illustrative” unless it comes from your real model). Small tag: “Next phase”.</w:t>
            </w:r>
          </w:p>
        </w:tc>
        <w:tc>
          <w:tcPr>
            <w:tcW w:type="dxa" w:w="5096"/>
            <w:tcBorders>
              <w:top w:val="single" w:color="D1D5DB" w:sz="4"/>
              <w:left w:val="single" w:color="D1D5DB" w:sz="4"/>
              <w:bottom w:val="single" w:color="D1D5DB" w:sz="4"/>
              <w:right w:val="single" w:color="D1D5DB" w:sz="4"/>
            </w:tcBorders>
            <w:shd w:fill="FFF4E6" w:color="auto" w:val="clear"/>
            <w:tcMar>
              <w:top w:type="dxa" w:w="80"/>
              <w:left w:type="dxa" w:w="110"/>
              <w:bottom w:type="dxa" w:w="80"/>
              <w:right w:type="dxa" w:w="110"/>
            </w:tcMar>
          </w:tcPr>
          <w:p>
            <w:pPr>
              <w:spacing w:line="300"/>
            </w:pPr>
            <w:r>
              <w:rPr>
                <w:rFonts w:ascii="Arial" w:cs="Arial" w:eastAsia="Arial" w:hAnsi="Arial"/>
                <w:sz w:val="22"/>
                <w:szCs w:val="22"/>
              </w:rPr>
              <w:t xml:space="preserve">Now, the real payoff. A forecasting model trained on raw data would learn the sensor switch as climate change. With a bias-free, multi-decade baseline, we can finally train fire forecasting models — and pair them with Explainable AI. Not just “high risk next week,” but why: drought stress, dry fuel buildup, or the seasonal cycle. Firefighters get a risk score they can trust and a reason they can act on. This is where EmberSync grows — from a record of the past into an early-warning system for the future.</w:t>
            </w:r>
          </w:p>
        </w:tc>
      </w:tr>
    </w:tbl>
    <w:p>
      <w:pPr>
        <w:pStyle w:val="Heading2"/>
        <w:spacing w:after="100" w:before="200"/>
      </w:pPr>
      <w:r>
        <w:rPr>
          <w:rFonts w:ascii="Arial" w:cs="Arial" w:eastAsia="Arial" w:hAnsi="Arial"/>
          <w:b/>
          <w:bCs/>
          <w:color w:val="1F2937"/>
          <w:sz w:val="23"/>
          <w:szCs w:val="23"/>
        </w:rPr>
        <w:t xml:space="preserve">PART 6 — TEAM &amp; CLOSING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0"/>
        <w:gridCol w:w="3400"/>
        <w:gridCol w:w="5096"/>
      </w:tblGrid>
      <w:tr>
        <w:trPr>
          <w:tblHeader/>
        </w:trPr>
        <w:tc>
          <w:tcPr>
            <w:tcW w:type="dxa" w:w="1250"/>
            <w:tcBorders>
              <w:top w:val="single" w:color="D1D5DB" w:sz="4"/>
              <w:left w:val="single" w:color="D1D5DB" w:sz="4"/>
              <w:bottom w:val="single" w:color="D1D5DB" w:sz="4"/>
              <w:right w:val="single" w:color="D1D5DB" w:sz="4"/>
            </w:tcBorders>
            <w:shd w:fill="C2410C" w:color="auto" w:val="clear"/>
            <w:tcMar>
              <w:top w:type="dxa" w:w="80"/>
              <w:left w:type="dxa" w:w="110"/>
              <w:bottom w:type="dxa" w:w="80"/>
              <w:right w:type="dxa" w:w="110"/>
            </w:tcMar>
          </w:tcPr>
          <w:p>
            <w:r>
              <w:rPr>
                <w:rFonts w:ascii="Arial" w:cs="Arial" w:eastAsia="Arial" w:hAnsi="Arial"/>
                <w:b/>
                <w:bCs/>
                <w:color w:val="FFFFFF"/>
                <w:sz w:val="20"/>
                <w:szCs w:val="20"/>
              </w:rPr>
              <w:t xml:space="preserve">Time</w:t>
            </w:r>
          </w:p>
        </w:tc>
        <w:tc>
          <w:tcPr>
            <w:tcW w:type="dxa" w:w="3400"/>
            <w:tcBorders>
              <w:top w:val="single" w:color="D1D5DB" w:sz="4"/>
              <w:left w:val="single" w:color="D1D5DB" w:sz="4"/>
              <w:bottom w:val="single" w:color="D1D5DB" w:sz="4"/>
              <w:right w:val="single" w:color="D1D5DB" w:sz="4"/>
            </w:tcBorders>
            <w:shd w:fill="C2410C" w:color="auto" w:val="clear"/>
            <w:tcMar>
              <w:top w:type="dxa" w:w="80"/>
              <w:left w:type="dxa" w:w="110"/>
              <w:bottom w:type="dxa" w:w="80"/>
              <w:right w:type="dxa" w:w="110"/>
            </w:tcMar>
          </w:tcPr>
          <w:p>
            <w:r>
              <w:rPr>
                <w:rFonts w:ascii="Arial" w:cs="Arial" w:eastAsia="Arial" w:hAnsi="Arial"/>
                <w:b/>
                <w:bCs/>
                <w:color w:val="FFFFFF"/>
                <w:sz w:val="20"/>
                <w:szCs w:val="20"/>
              </w:rPr>
              <w:t xml:space="preserve">On screen (not spoken)</w:t>
            </w:r>
          </w:p>
        </w:tc>
        <w:tc>
          <w:tcPr>
            <w:tcW w:type="dxa" w:w="5096"/>
            <w:tcBorders>
              <w:top w:val="single" w:color="D1D5DB" w:sz="4"/>
              <w:left w:val="single" w:color="D1D5DB" w:sz="4"/>
              <w:bottom w:val="single" w:color="D1D5DB" w:sz="4"/>
              <w:right w:val="single" w:color="D1D5DB" w:sz="4"/>
            </w:tcBorders>
            <w:shd w:fill="C2410C" w:color="auto" w:val="clear"/>
            <w:tcMar>
              <w:top w:type="dxa" w:w="80"/>
              <w:left w:type="dxa" w:w="110"/>
              <w:bottom w:type="dxa" w:w="80"/>
              <w:right w:type="dxa" w:w="110"/>
            </w:tcMar>
          </w:tcPr>
          <w:p>
            <w:r>
              <w:rPr>
                <w:rFonts w:ascii="Arial" w:cs="Arial" w:eastAsia="Arial" w:hAnsi="Arial"/>
                <w:b/>
                <w:bCs/>
                <w:color w:val="FFFFFF"/>
                <w:sz w:val="20"/>
                <w:szCs w:val="20"/>
              </w:rPr>
              <w:t xml:space="preserve">Voiceover (read this)</w:t>
            </w:r>
          </w:p>
        </w:tc>
      </w:tr>
      <w:tr>
        <w:tc>
          <w:tcPr>
            <w:tcW w:type="dxa" w:w="1250"/>
            <w:tcBorders>
              <w:top w:val="single" w:color="D1D5DB" w:sz="4"/>
              <w:left w:val="single" w:color="D1D5DB" w:sz="4"/>
              <w:bottom w:val="single" w:color="D1D5DB" w:sz="4"/>
              <w:right w:val="single" w:color="D1D5DB" w:sz="4"/>
            </w:tcBorders>
            <w:tcMar>
              <w:top w:type="dxa" w:w="80"/>
              <w:left w:type="dxa" w:w="110"/>
              <w:bottom w:type="dxa" w:w="80"/>
              <w:right w:type="dxa" w:w="110"/>
            </w:tcMar>
          </w:tcPr>
          <w:p>
            <w:r>
              <w:rPr>
                <w:rFonts w:ascii="Arial" w:cs="Arial" w:eastAsia="Arial" w:hAnsi="Arial"/>
                <w:b/>
                <w:bCs/>
                <w:sz w:val="19"/>
                <w:szCs w:val="19"/>
              </w:rPr>
              <w:t xml:space="preserve">3:15 – 4:00</w:t>
            </w:r>
          </w:p>
        </w:tc>
        <w:tc>
          <w:tcPr>
            <w:tcW w:type="dxa" w:w="340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r>
              <w:rPr>
                <w:rFonts w:ascii="Arial" w:cs="Arial" w:eastAsia="Arial" w:hAnsi="Arial"/>
                <w:i/>
                <w:iCs/>
                <w:color w:val="4B5563"/>
                <w:sz w:val="19"/>
                <w:szCs w:val="19"/>
              </w:rPr>
              <w:t xml:space="preserve">Team slide: six headshots with name + role. Each face lights up as the name is spoken. Then final frame: “One record. One truth. One step ahead of the flames.” + NASA Space Apps 2026 emblem + GitHub / web-app links. Hold 5–8 s of silence-with-music at the end.</w:t>
            </w:r>
          </w:p>
        </w:tc>
        <w:tc>
          <w:tcPr>
            <w:tcW w:type="dxa" w:w="5096"/>
            <w:tcBorders>
              <w:top w:val="single" w:color="D1D5DB" w:sz="4"/>
              <w:left w:val="single" w:color="D1D5DB" w:sz="4"/>
              <w:bottom w:val="single" w:color="D1D5DB" w:sz="4"/>
              <w:right w:val="single" w:color="D1D5DB" w:sz="4"/>
            </w:tcBorders>
            <w:shd w:fill="FFF4E6" w:color="auto" w:val="clear"/>
            <w:tcMar>
              <w:top w:type="dxa" w:w="80"/>
              <w:left w:type="dxa" w:w="110"/>
              <w:bottom w:type="dxa" w:w="80"/>
              <w:right w:type="dxa" w:w="110"/>
            </w:tcMar>
          </w:tcPr>
          <w:p>
            <w:pPr>
              <w:spacing w:line="300"/>
            </w:pPr>
            <w:r>
              <w:rPr>
                <w:rFonts w:ascii="Arial" w:cs="Arial" w:eastAsia="Arial" w:hAnsi="Arial"/>
                <w:sz w:val="22"/>
                <w:szCs w:val="22"/>
              </w:rPr>
              <w:t xml:space="preserve">Behind EmberSync: Mosharrof Hossain, team lead and machine learning engineer; Sabrina Akter Saba, data engineer; Tausif Mahdi Akanda, GIS and visualization; Abu Shaed Khan, full-stack development; Sanjid Mahmud, data science and machine learning; and Bayezid Khan, design and storytelling. When satellites speak one language, firefighters see clearly, ecosystems are protected, and lives are saved. EmberSync — one record, one truth, one step ahead of the flames. Thank you, NASA, and thank you all.</w:t>
            </w:r>
          </w:p>
        </w:tc>
      </w:tr>
    </w:tbl>
    <w:p>
      <w:pPr>
        <w:pStyle w:val="Heading1"/>
        <w:spacing w:after="140" w:before="320"/>
      </w:pPr>
      <w:r>
        <w:rPr>
          <w:rFonts w:ascii="Arial" w:cs="Arial" w:eastAsia="Arial" w:hAnsi="Arial"/>
          <w:b/>
          <w:bCs/>
          <w:color w:val="C2410C"/>
          <w:sz w:val="28"/>
          <w:szCs w:val="28"/>
        </w:rPr>
        <w:t xml:space="preserve">Slide text (copy into your deck)</w:t>
      </w:r>
    </w:p>
    <w:p>
      <w:pPr>
        <w:pStyle w:val="Heading2"/>
        <w:spacing w:after="100" w:before="200"/>
      </w:pPr>
      <w:r>
        <w:rPr>
          <w:rFonts w:ascii="Arial" w:cs="Arial" w:eastAsia="Arial" w:hAnsi="Arial"/>
          <w:b/>
          <w:bCs/>
          <w:color w:val="1F2937"/>
          <w:sz w:val="23"/>
          <w:szCs w:val="23"/>
        </w:rPr>
        <w:t xml:space="preserve">Slide: Grounded in NASA Literature — The Science Behind Harmonization</w:t>
      </w:r>
    </w:p>
    <w:p>
      <w:pPr>
        <w:pStyle w:val="ListParagraph"/>
        <w:numPr>
          <w:ilvl w:val="0"/>
          <w:numId w:val="2"/>
        </w:numPr>
        <w:spacing w:after="60" w:line="264"/>
      </w:pPr>
      <w:r>
        <w:rPr>
          <w:rFonts w:ascii="Arial" w:cs="Arial" w:eastAsia="Arial" w:hAnsi="Arial"/>
          <w:b/>
          <w:bCs/>
          <w:sz w:val="21"/>
          <w:szCs w:val="21"/>
        </w:rPr>
        <w:t xml:space="preserve">Giglio et al. (2016) </w:t>
      </w:r>
      <w:r>
        <w:rPr>
          <w:rFonts w:ascii="Arial" w:cs="Arial" w:eastAsia="Arial" w:hAnsi="Arial"/>
          <w:sz w:val="21"/>
          <w:szCs w:val="21"/>
        </w:rPr>
        <w:t xml:space="preserve">— defined the MODIS Collection 6 active fire algorithm and products [3].</w:t>
      </w:r>
    </w:p>
    <w:p>
      <w:pPr>
        <w:pStyle w:val="ListParagraph"/>
        <w:numPr>
          <w:ilvl w:val="0"/>
          <w:numId w:val="2"/>
        </w:numPr>
        <w:spacing w:after="60" w:line="264"/>
      </w:pPr>
      <w:r>
        <w:rPr>
          <w:rFonts w:ascii="Arial" w:cs="Arial" w:eastAsia="Arial" w:hAnsi="Arial"/>
          <w:b/>
          <w:bCs/>
          <w:sz w:val="21"/>
          <w:szCs w:val="21"/>
        </w:rPr>
        <w:t xml:space="preserve">Li et al. (2018) </w:t>
      </w:r>
      <w:r>
        <w:rPr>
          <w:rFonts w:ascii="Arial" w:cs="Arial" w:eastAsia="Arial" w:hAnsi="Arial"/>
          <w:sz w:val="21"/>
          <w:szCs w:val="21"/>
        </w:rPr>
        <w:t xml:space="preserve">— MODIS fire characterization depends strongly on view angle; VIIRS is consistent across the swath; FRP differs ~20% between sensors in fire-prone regions [1].</w:t>
      </w:r>
    </w:p>
    <w:p>
      <w:pPr>
        <w:pStyle w:val="ListParagraph"/>
        <w:numPr>
          <w:ilvl w:val="0"/>
          <w:numId w:val="2"/>
        </w:numPr>
        <w:spacing w:after="60" w:line="264"/>
      </w:pPr>
      <w:r>
        <w:rPr>
          <w:rFonts w:ascii="Arial" w:cs="Arial" w:eastAsia="Arial" w:hAnsi="Arial"/>
          <w:b/>
          <w:bCs/>
          <w:sz w:val="21"/>
          <w:szCs w:val="21"/>
        </w:rPr>
        <w:t xml:space="preserve">Fu et al. (2020) </w:t>
      </w:r>
      <w:r>
        <w:rPr>
          <w:rFonts w:ascii="Arial" w:cs="Arial" w:eastAsia="Arial" w:hAnsi="Arial"/>
          <w:sz w:val="21"/>
          <w:szCs w:val="21"/>
        </w:rPr>
        <w:t xml:space="preserve">— MODIS missed 83% of VIIRS-detected fire pixels in croplands/grasslands (65% in forests) [2].</w:t>
      </w:r>
    </w:p>
    <w:p>
      <w:pPr>
        <w:pStyle w:val="ListParagraph"/>
        <w:numPr>
          <w:ilvl w:val="0"/>
          <w:numId w:val="2"/>
        </w:numPr>
        <w:spacing w:after="60" w:line="264"/>
      </w:pPr>
      <w:r>
        <w:rPr>
          <w:rFonts w:ascii="Arial" w:cs="Arial" w:eastAsia="Arial" w:hAnsi="Arial"/>
          <w:b/>
          <w:bCs/>
          <w:sz w:val="21"/>
          <w:szCs w:val="21"/>
        </w:rPr>
        <w:t xml:space="preserve">Also builds on: </w:t>
      </w:r>
      <w:r>
        <w:rPr>
          <w:rFonts w:ascii="Arial" w:cs="Arial" w:eastAsia="Arial" w:hAnsi="Arial"/>
          <w:sz w:val="21"/>
          <w:szCs w:val="21"/>
        </w:rPr>
        <w:t xml:space="preserve">Balashov et al. (2018) [4], Bilgili &amp; Sağlam (2022) [5], Elvidge et al. (2013) [6] — MODIS + VIIRS fusion and VIIRS nighttime detection.</w:t>
      </w:r>
    </w:p>
    <w:p>
      <w:pPr>
        <w:pStyle w:val="ListParagraph"/>
        <w:numPr>
          <w:ilvl w:val="0"/>
          <w:numId w:val="2"/>
        </w:numPr>
        <w:spacing w:after="60" w:line="264"/>
      </w:pPr>
      <w:r>
        <w:rPr>
          <w:rFonts w:ascii="Arial" w:cs="Arial" w:eastAsia="Arial" w:hAnsi="Arial"/>
          <w:b/>
          <w:bCs/>
          <w:sz w:val="21"/>
          <w:szCs w:val="21"/>
        </w:rPr>
        <w:t xml:space="preserve">EmberSync result: </w:t>
      </w:r>
      <w:r>
        <w:rPr>
          <w:rFonts w:ascii="Arial" w:cs="Arial" w:eastAsia="Arial" w:hAnsi="Arial"/>
          <w:sz w:val="21"/>
          <w:szCs w:val="21"/>
        </w:rPr>
        <w:t xml:space="preserve">energy-conserving calibration (98.4% fit) · biome-adaptive radii (0.91–1.47 km) · 44.4% duplicate alerts removed.</w:t>
      </w:r>
    </w:p>
    <w:p>
      <w:pPr>
        <w:spacing w:after="80" w:before="140"/>
      </w:pPr>
      <w:r>
        <w:rPr>
          <w:rFonts w:ascii="Arial" w:cs="Arial" w:eastAsia="Arial" w:hAnsi="Arial"/>
          <w:b/>
          <w:bCs/>
          <w:sz w:val="21"/>
          <w:szCs w:val="21"/>
        </w:rPr>
        <w:t xml:space="preserve">References</w:t>
      </w:r>
    </w:p>
    <w:p>
      <w:pPr>
        <w:spacing w:after="80" w:line="252"/>
        <w:ind w:left="420" w:hanging="420"/>
      </w:pPr>
      <w:r>
        <w:rPr>
          <w:rFonts w:ascii="Arial" w:cs="Arial" w:eastAsia="Arial" w:hAnsi="Arial"/>
          <w:sz w:val="18"/>
          <w:szCs w:val="18"/>
        </w:rPr>
        <w:t xml:space="preserve">[1] F. Li, X. Zhang, S. Kondragunta, and I. Csiszar, “Comparison of fire radiative power estimates from VIIRS and MODIS observations,” Journal of Geophysical Research: Atmospheres, vol. 123, no. 9, pp. 4545–4563, May 2018, doi: 10.1029/2017JD027823.</w:t>
      </w:r>
    </w:p>
    <w:p>
      <w:pPr>
        <w:spacing w:after="80" w:line="252"/>
        <w:ind w:left="420" w:hanging="420"/>
      </w:pPr>
      <w:r>
        <w:rPr>
          <w:rFonts w:ascii="Arial" w:cs="Arial" w:eastAsia="Arial" w:hAnsi="Arial"/>
          <w:sz w:val="18"/>
          <w:szCs w:val="18"/>
        </w:rPr>
        <w:t xml:space="preserve">[2] Y. Fu, R. Li, X. Wang, Y. Bergeron, O. Valeria, R. D. Chavardès, Y. Wang, and J. Hu, “Fire detection and fire radiative power in forests and low-biomass lands in Northeast Asia: MODIS versus VIIRS fire products,” Remote Sensing, vol. 12, no. 18, p. 2870, Sep. 2020, doi: 10.3390/rs12182870.</w:t>
      </w:r>
    </w:p>
    <w:p>
      <w:pPr>
        <w:spacing w:after="80" w:line="252"/>
        <w:ind w:left="420" w:hanging="420"/>
      </w:pPr>
      <w:r>
        <w:rPr>
          <w:rFonts w:ascii="Arial" w:cs="Arial" w:eastAsia="Arial" w:hAnsi="Arial"/>
          <w:sz w:val="18"/>
          <w:szCs w:val="18"/>
        </w:rPr>
        <w:t xml:space="preserve">[3] L. Giglio, W. Schroeder, and C. O. Justice, “The collection 6 MODIS active fire detection algorithm and fire products,” Remote Sensing of Environment, vol. 178, pp. 31–41, Jun. 2016, doi: 10.1016/j.rse.2016.02.054.</w:t>
      </w:r>
    </w:p>
    <w:p>
      <w:pPr>
        <w:spacing w:after="80" w:line="252"/>
        <w:ind w:left="420" w:hanging="420"/>
      </w:pPr>
      <w:r>
        <w:rPr>
          <w:rFonts w:ascii="Arial" w:cs="Arial" w:eastAsia="Arial" w:hAnsi="Arial"/>
          <w:sz w:val="18"/>
          <w:szCs w:val="18"/>
        </w:rPr>
        <w:t xml:space="preserve">[4] I. V. Balashov, M. A. Burtsev, A. A. Proshin, A. A. Matveev, A. A. Mazurov, and K. S. Senko, “Usage of MODIS and VIIRS combined data for forest fires area estimation experience,” in Information Technologies in Remote Sensing of the Earth (RORSE), 2018, pp. 164–170, doi: 10.21046/rorse2018.164.</w:t>
      </w:r>
    </w:p>
    <w:p>
      <w:pPr>
        <w:spacing w:after="80" w:line="252"/>
        <w:ind w:left="420" w:hanging="420"/>
      </w:pPr>
      <w:r>
        <w:rPr>
          <w:rFonts w:ascii="Arial" w:cs="Arial" w:eastAsia="Arial" w:hAnsi="Arial"/>
          <w:sz w:val="18"/>
          <w:szCs w:val="18"/>
        </w:rPr>
        <w:t xml:space="preserve">[5] E. Bilgili and B. Sağlam, “Assessing the performance of MODIS and VIIRS active fire products in the monitoring of wildfires: a case study in Turkey,” iForest – Biogeosciences and Forestry, vol. 15, no. 2, pp. 85–94, 2022, doi: 10.3832/ifor3754-015.</w:t>
      </w:r>
    </w:p>
    <w:p>
      <w:pPr>
        <w:spacing w:after="80" w:line="252"/>
        <w:ind w:left="420" w:hanging="420"/>
      </w:pPr>
      <w:r>
        <w:rPr>
          <w:rFonts w:ascii="Arial" w:cs="Arial" w:eastAsia="Arial" w:hAnsi="Arial"/>
          <w:sz w:val="18"/>
          <w:szCs w:val="18"/>
        </w:rPr>
        <w:t xml:space="preserve">[6] C. D. Elvidge, M. Zhizhin, F.-C. Hsu, and K. E. Baugh, “VIIRS Nightfire: Satellite pyrometry at night,” Remote Sensing, vol. 5, no. 9, pp. 4423–4449, Sep. 2013, doi: 10.3390/rs5094423.</w:t>
      </w:r>
    </w:p>
    <w:p>
      <w:pPr>
        <w:pStyle w:val="Heading2"/>
        <w:spacing w:after="100" w:before="200"/>
      </w:pPr>
      <w:r>
        <w:rPr>
          <w:rFonts w:ascii="Arial" w:cs="Arial" w:eastAsia="Arial" w:hAnsi="Arial"/>
          <w:b/>
          <w:bCs/>
          <w:color w:val="1F2937"/>
          <w:sz w:val="23"/>
          <w:szCs w:val="23"/>
        </w:rPr>
        <w:t xml:space="preserve">Slide: From Harmonization to Foresight — AI Fire Forecasting &amp; XAI</w:t>
      </w:r>
    </w:p>
    <w:p>
      <w:pPr>
        <w:pStyle w:val="ListParagraph"/>
        <w:numPr>
          <w:ilvl w:val="0"/>
          <w:numId w:val="2"/>
        </w:numPr>
        <w:spacing w:after="60" w:line="264"/>
      </w:pPr>
      <w:r>
        <w:rPr>
          <w:rFonts w:ascii="Arial" w:cs="Arial" w:eastAsia="Arial" w:hAnsi="Arial"/>
          <w:b/>
          <w:bCs/>
          <w:sz w:val="21"/>
          <w:szCs w:val="21"/>
        </w:rPr>
        <w:t xml:space="preserve">Bias-free training data: </w:t>
      </w:r>
      <w:r>
        <w:rPr>
          <w:rFonts w:ascii="Arial" w:cs="Arial" w:eastAsia="Arial" w:hAnsi="Arial"/>
          <w:sz w:val="21"/>
          <w:szCs w:val="21"/>
        </w:rPr>
        <w:t xml:space="preserve">a harmonized multi-decade matrix lets forecasting models learn climate, not sensor switches.</w:t>
      </w:r>
    </w:p>
    <w:p>
      <w:pPr>
        <w:pStyle w:val="ListParagraph"/>
        <w:numPr>
          <w:ilvl w:val="0"/>
          <w:numId w:val="2"/>
        </w:numPr>
        <w:spacing w:after="60" w:line="264"/>
      </w:pPr>
      <w:r>
        <w:rPr>
          <w:rFonts w:ascii="Arial" w:cs="Arial" w:eastAsia="Arial" w:hAnsi="Arial"/>
          <w:b/>
          <w:bCs/>
          <w:sz w:val="21"/>
          <w:szCs w:val="21"/>
        </w:rPr>
        <w:t xml:space="preserve">Predictive early warning: </w:t>
      </w:r>
      <w:r>
        <w:rPr>
          <w:rFonts w:ascii="Arial" w:cs="Arial" w:eastAsia="Arial" w:hAnsi="Arial"/>
          <w:sz w:val="21"/>
          <w:szCs w:val="21"/>
        </w:rPr>
        <w:t xml:space="preserve">flag early fire-season onset and hotspot intensity surges weeks ahead.</w:t>
      </w:r>
    </w:p>
    <w:p>
      <w:pPr>
        <w:pStyle w:val="ListParagraph"/>
        <w:numPr>
          <w:ilvl w:val="0"/>
          <w:numId w:val="2"/>
        </w:numPr>
        <w:spacing w:after="60" w:line="264"/>
      </w:pPr>
      <w:r>
        <w:rPr>
          <w:rFonts w:ascii="Arial" w:cs="Arial" w:eastAsia="Arial" w:hAnsi="Arial"/>
          <w:b/>
          <w:bCs/>
          <w:sz w:val="21"/>
          <w:szCs w:val="21"/>
        </w:rPr>
        <w:t xml:space="preserve">Explainable AI (XAI): </w:t>
      </w:r>
      <w:r>
        <w:rPr>
          <w:rFonts w:ascii="Arial" w:cs="Arial" w:eastAsia="Arial" w:hAnsi="Arial"/>
          <w:sz w:val="21"/>
          <w:szCs w:val="21"/>
        </w:rPr>
        <w:t xml:space="preserve">SHAP-style attribution shows why risk is rising — drought, fuel load, or seasonality.</w:t>
      </w:r>
    </w:p>
    <w:p>
      <w:pPr>
        <w:pStyle w:val="Heading2"/>
        <w:spacing w:after="100" w:before="200"/>
      </w:pPr>
      <w:r>
        <w:rPr>
          <w:rFonts w:ascii="Arial" w:cs="Arial" w:eastAsia="Arial" w:hAnsi="Arial"/>
          <w:b/>
          <w:bCs/>
          <w:color w:val="1F2937"/>
          <w:sz w:val="23"/>
          <w:szCs w:val="23"/>
        </w:rPr>
        <w:t xml:space="preserve">Slide: Team</w:t>
      </w:r>
    </w:p>
    <w:p>
      <w:pPr>
        <w:pStyle w:val="ListParagraph"/>
        <w:numPr>
          <w:ilvl w:val="0"/>
          <w:numId w:val="2"/>
        </w:numPr>
        <w:spacing w:after="60" w:line="264"/>
      </w:pPr>
      <w:r>
        <w:rPr>
          <w:rFonts w:ascii="Arial" w:cs="Arial" w:eastAsia="Arial" w:hAnsi="Arial"/>
          <w:b/>
          <w:bCs/>
          <w:sz w:val="21"/>
          <w:szCs w:val="21"/>
        </w:rPr>
        <w:t xml:space="preserve">Md. Mosharrof Hossain</w:t>
      </w:r>
      <w:r>
        <w:rPr>
          <w:rFonts w:ascii="Arial" w:cs="Arial" w:eastAsia="Arial" w:hAnsi="Arial"/>
          <w:sz w:val="21"/>
          <w:szCs w:val="21"/>
        </w:rPr>
        <w:t xml:space="preserve"> — Team Lead · Research · ML Engineer</w:t>
      </w:r>
    </w:p>
    <w:p>
      <w:pPr>
        <w:pStyle w:val="ListParagraph"/>
        <w:numPr>
          <w:ilvl w:val="0"/>
          <w:numId w:val="2"/>
        </w:numPr>
        <w:spacing w:after="60" w:line="264"/>
      </w:pPr>
      <w:r>
        <w:rPr>
          <w:rFonts w:ascii="Arial" w:cs="Arial" w:eastAsia="Arial" w:hAnsi="Arial"/>
          <w:b/>
          <w:bCs/>
          <w:sz w:val="21"/>
          <w:szCs w:val="21"/>
        </w:rPr>
        <w:t xml:space="preserve">Bayezid Khan</w:t>
      </w:r>
      <w:r>
        <w:rPr>
          <w:rFonts w:ascii="Arial" w:cs="Arial" w:eastAsia="Arial" w:hAnsi="Arial"/>
          <w:sz w:val="21"/>
          <w:szCs w:val="21"/>
        </w:rPr>
        <w:t xml:space="preserve"> — UI/UX · Storytelling · Presentation</w:t>
      </w:r>
    </w:p>
    <w:p>
      <w:pPr>
        <w:pStyle w:val="ListParagraph"/>
        <w:numPr>
          <w:ilvl w:val="0"/>
          <w:numId w:val="2"/>
        </w:numPr>
        <w:spacing w:after="60" w:line="264"/>
      </w:pPr>
      <w:r>
        <w:rPr>
          <w:rFonts w:ascii="Arial" w:cs="Arial" w:eastAsia="Arial" w:hAnsi="Arial"/>
          <w:b/>
          <w:bCs/>
          <w:sz w:val="21"/>
          <w:szCs w:val="21"/>
        </w:rPr>
        <w:t xml:space="preserve">Sabrina Akter Saba</w:t>
      </w:r>
      <w:r>
        <w:rPr>
          <w:rFonts w:ascii="Arial" w:cs="Arial" w:eastAsia="Arial" w:hAnsi="Arial"/>
          <w:sz w:val="21"/>
          <w:szCs w:val="21"/>
        </w:rPr>
        <w:t xml:space="preserve"> — Data Engineer</w:t>
      </w:r>
    </w:p>
    <w:p>
      <w:pPr>
        <w:pStyle w:val="ListParagraph"/>
        <w:numPr>
          <w:ilvl w:val="0"/>
          <w:numId w:val="2"/>
        </w:numPr>
        <w:spacing w:after="60" w:line="264"/>
      </w:pPr>
      <w:r>
        <w:rPr>
          <w:rFonts w:ascii="Arial" w:cs="Arial" w:eastAsia="Arial" w:hAnsi="Arial"/>
          <w:b/>
          <w:bCs/>
          <w:sz w:val="21"/>
          <w:szCs w:val="21"/>
        </w:rPr>
        <w:t xml:space="preserve">Tausif Mahdi Akanda</w:t>
      </w:r>
      <w:r>
        <w:rPr>
          <w:rFonts w:ascii="Arial" w:cs="Arial" w:eastAsia="Arial" w:hAnsi="Arial"/>
          <w:sz w:val="21"/>
          <w:szCs w:val="21"/>
        </w:rPr>
        <w:t xml:space="preserve"> — GIS &amp; Visualization Engineer</w:t>
      </w:r>
    </w:p>
    <w:p>
      <w:pPr>
        <w:pStyle w:val="ListParagraph"/>
        <w:numPr>
          <w:ilvl w:val="0"/>
          <w:numId w:val="2"/>
        </w:numPr>
        <w:spacing w:after="60" w:line="264"/>
      </w:pPr>
      <w:r>
        <w:rPr>
          <w:rFonts w:ascii="Arial" w:cs="Arial" w:eastAsia="Arial" w:hAnsi="Arial"/>
          <w:b/>
          <w:bCs/>
          <w:sz w:val="21"/>
          <w:szCs w:val="21"/>
        </w:rPr>
        <w:t xml:space="preserve">Abu Shaed Khan</w:t>
      </w:r>
      <w:r>
        <w:rPr>
          <w:rFonts w:ascii="Arial" w:cs="Arial" w:eastAsia="Arial" w:hAnsi="Arial"/>
          <w:sz w:val="21"/>
          <w:szCs w:val="21"/>
        </w:rPr>
        <w:t xml:space="preserve"> — Full-Stack Developer</w:t>
      </w:r>
    </w:p>
    <w:p>
      <w:pPr>
        <w:pStyle w:val="ListParagraph"/>
        <w:numPr>
          <w:ilvl w:val="0"/>
          <w:numId w:val="2"/>
        </w:numPr>
        <w:spacing w:after="60" w:line="264"/>
      </w:pPr>
      <w:r>
        <w:rPr>
          <w:rFonts w:ascii="Arial" w:cs="Arial" w:eastAsia="Arial" w:hAnsi="Arial"/>
          <w:b/>
          <w:bCs/>
          <w:sz w:val="21"/>
          <w:szCs w:val="21"/>
        </w:rPr>
        <w:t xml:space="preserve">Sanjid Mahmud</w:t>
      </w:r>
      <w:r>
        <w:rPr>
          <w:rFonts w:ascii="Arial" w:cs="Arial" w:eastAsia="Arial" w:hAnsi="Arial"/>
          <w:sz w:val="21"/>
          <w:szCs w:val="21"/>
        </w:rPr>
        <w:t xml:space="preserve"> — Data Scientist · ML Engineer</w:t>
      </w:r>
    </w:p>
    <w:p>
      <w:pPr>
        <w:pStyle w:val="Heading1"/>
        <w:spacing w:after="140" w:before="320"/>
      </w:pPr>
      <w:r>
        <w:rPr>
          <w:rFonts w:ascii="Arial" w:cs="Arial" w:eastAsia="Arial" w:hAnsi="Arial"/>
          <w:b/>
          <w:bCs/>
          <w:color w:val="C2410C"/>
          <w:sz w:val="28"/>
          <w:szCs w:val="28"/>
        </w:rPr>
        <w:t xml:space="preserve">Delivery tips to keep it un-boring</w:t>
      </w:r>
    </w:p>
    <w:p>
      <w:pPr>
        <w:pStyle w:val="ListParagraph"/>
        <w:numPr>
          <w:ilvl w:val="0"/>
          <w:numId w:val="2"/>
        </w:numPr>
        <w:spacing w:after="60" w:line="264"/>
      </w:pPr>
      <w:r>
        <w:rPr>
          <w:rFonts w:ascii="Arial" w:cs="Arial" w:eastAsia="Arial" w:hAnsi="Arial"/>
          <w:sz w:val="21"/>
          <w:szCs w:val="21"/>
        </w:rPr>
        <w:t xml:space="preserve">Pause for one full second after “quadruple” in the hook, and again before the slider reveal. Silence sells the surprise.</w:t>
      </w:r>
    </w:p>
    <w:p>
      <w:pPr>
        <w:pStyle w:val="ListParagraph"/>
        <w:numPr>
          <w:ilvl w:val="0"/>
          <w:numId w:val="2"/>
        </w:numPr>
        <w:spacing w:after="60" w:line="264"/>
      </w:pPr>
      <w:r>
        <w:rPr>
          <w:rFonts w:ascii="Arial" w:cs="Arial" w:eastAsia="Arial" w:hAnsi="Arial"/>
          <w:sz w:val="21"/>
          <w:szCs w:val="21"/>
        </w:rPr>
        <w:t xml:space="preserve">Every number (4×, 44.4%, 98.4%, 83%) should appear on screen as a big animated pop at the exact word — never a full paragraph on a slide.</w:t>
      </w:r>
    </w:p>
    <w:p>
      <w:pPr>
        <w:pStyle w:val="ListParagraph"/>
        <w:numPr>
          <w:ilvl w:val="0"/>
          <w:numId w:val="2"/>
        </w:numPr>
        <w:spacing w:after="60" w:line="264"/>
      </w:pPr>
      <w:r>
        <w:rPr>
          <w:rFonts w:ascii="Arial" w:cs="Arial" w:eastAsia="Arial" w:hAnsi="Arial"/>
          <w:sz w:val="21"/>
          <w:szCs w:val="21"/>
        </w:rPr>
        <w:t xml:space="preserve">Cut the visual every 4–6 seconds. Alternate: dashboard → map → chart → face. Never hold one static slide for more than 8 seconds.</w:t>
      </w:r>
    </w:p>
    <w:p>
      <w:pPr>
        <w:pStyle w:val="ListParagraph"/>
        <w:numPr>
          <w:ilvl w:val="0"/>
          <w:numId w:val="2"/>
        </w:numPr>
        <w:spacing w:after="60" w:line="264"/>
      </w:pPr>
      <w:r>
        <w:rPr>
          <w:rFonts w:ascii="Arial" w:cs="Arial" w:eastAsia="Arial" w:hAnsi="Arial"/>
          <w:sz w:val="21"/>
          <w:szCs w:val="21"/>
        </w:rPr>
        <w:t xml:space="preserve">Use two voices if possible: one for Parts 1, 2, 6 (story) and another for Parts 3–5 (science). The change of voice resets the listener’s attention.</w:t>
      </w:r>
    </w:p>
    <w:p>
      <w:pPr>
        <w:pStyle w:val="ListParagraph"/>
        <w:numPr>
          <w:ilvl w:val="0"/>
          <w:numId w:val="2"/>
        </w:numPr>
        <w:spacing w:after="60" w:line="264"/>
      </w:pPr>
      <w:r>
        <w:rPr>
          <w:rFonts w:ascii="Arial" w:cs="Arial" w:eastAsia="Arial" w:hAnsi="Arial"/>
          <w:sz w:val="21"/>
          <w:szCs w:val="21"/>
        </w:rPr>
        <w:t xml:space="preserve">Soft low pulse under the hook, a light “rising” track under Part 3, and drop the music almost to silence for the final line.</w:t>
      </w:r>
    </w:p>
    <w:p>
      <w:pPr>
        <w:pStyle w:val="ListParagraph"/>
        <w:numPr>
          <w:ilvl w:val="0"/>
          <w:numId w:val="2"/>
        </w:numPr>
        <w:spacing w:after="60" w:line="264"/>
      </w:pPr>
      <w:r>
        <w:rPr>
          <w:rFonts w:ascii="Arial" w:cs="Arial" w:eastAsia="Arial" w:hAnsi="Arial"/>
          <w:sz w:val="21"/>
          <w:szCs w:val="21"/>
        </w:rPr>
        <w:t xml:space="preserve">Record the voiceover in one calm, urgent take per part, then trim; do not rush — 140 words per minute is your ceiling.</w:t>
      </w:r>
    </w:p>
    <w:p>
      <w:pPr>
        <w:pStyle w:val="Heading1"/>
        <w:spacing w:after="140" w:before="320"/>
      </w:pPr>
      <w:r>
        <w:rPr>
          <w:rFonts w:ascii="Arial" w:cs="Arial" w:eastAsia="Arial" w:hAnsi="Arial"/>
          <w:b/>
          <w:bCs/>
          <w:color w:val="C2410C"/>
          <w:sz w:val="28"/>
          <w:szCs w:val="28"/>
        </w:rPr>
        <w:t xml:space="preserve">Check before you record</w:t>
      </w:r>
    </w:p>
    <w:p>
      <w:pPr>
        <w:pStyle w:val="ListParagraph"/>
        <w:numPr>
          <w:ilvl w:val="0"/>
          <w:numId w:val="2"/>
        </w:numPr>
        <w:spacing w:after="60" w:line="264"/>
      </w:pPr>
      <w:r>
        <w:rPr>
          <w:rFonts w:ascii="Arial" w:cs="Arial" w:eastAsia="Arial" w:hAnsi="Arial"/>
          <w:sz w:val="21"/>
          <w:szCs w:val="21"/>
        </w:rPr>
        <w:t xml:space="preserve">Replace [Insert Team Name] in Parts 1 and the closing slide.</w:t>
      </w:r>
    </w:p>
    <w:p>
      <w:pPr>
        <w:pStyle w:val="ListParagraph"/>
        <w:numPr>
          <w:ilvl w:val="0"/>
          <w:numId w:val="2"/>
        </w:numPr>
        <w:spacing w:after="60" w:line="264"/>
      </w:pPr>
      <w:r>
        <w:rPr>
          <w:rFonts w:ascii="Arial" w:cs="Arial" w:eastAsia="Arial" w:hAnsi="Arial"/>
          <w:sz w:val="21"/>
          <w:szCs w:val="21"/>
        </w:rPr>
        <w:t xml:space="preserve">Data range: your earlier script says MODIS 2000–2024 but you also mention 26 years (to 2026). The voiceover uses “twenty years” and “multi-decade” so it is safe either way — make the dashboard label match your real data range.</w:t>
      </w:r>
    </w:p>
    <w:p>
      <w:pPr>
        <w:pStyle w:val="ListParagraph"/>
        <w:numPr>
          <w:ilvl w:val="0"/>
          <w:numId w:val="2"/>
        </w:numPr>
        <w:spacing w:after="60" w:line="264"/>
      </w:pPr>
      <w:r>
        <w:rPr>
          <w:rFonts w:ascii="Arial" w:cs="Arial" w:eastAsia="Arial" w:hAnsi="Arial"/>
          <w:sz w:val="21"/>
          <w:szCs w:val="21"/>
        </w:rPr>
        <w:t xml:space="preserve">Part 5 is a forward-looking vision. If the forecasting model is not built yet, keep the “Next phase” tag and label any SHAP chart “illustrative”. Do not show invented risk percentages as real results.</w:t>
      </w:r>
    </w:p>
    <w:p>
      <w:pPr>
        <w:pStyle w:val="ListParagraph"/>
        <w:numPr>
          <w:ilvl w:val="0"/>
          <w:numId w:val="2"/>
        </w:numPr>
        <w:spacing w:after="60" w:line="264"/>
      </w:pPr>
      <w:r>
        <w:rPr>
          <w:rFonts w:ascii="Arial" w:cs="Arial" w:eastAsia="Arial" w:hAnsi="Arial"/>
          <w:sz w:val="21"/>
          <w:szCs w:val="21"/>
        </w:rPr>
        <w:t xml:space="preserve">Literature claims in Part 4 were checked against the published abstracts of Li (2018) and Fu (2020). The earlier draft’s “300% inflation at scan edges” and “5× more fires” are not stated there, so they were replaced with the verified findings above.</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EmberSync · NASA Space Apps 2026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2026-09-30T03:09:24.560Z</dcterms:created>
  <dcterms:modified xsi:type="dcterms:W3CDTF">2026-09-30T03:09:24.560Z</dcterms:modified>
</cp:coreProperties>
</file>

<file path=docProps/custom.xml><?xml version="1.0" encoding="utf-8"?>
<Properties xmlns="http://schemas.openxmlformats.org/officeDocument/2006/custom-properties" xmlns:vt="http://schemas.openxmlformats.org/officeDocument/2006/docPropsVTypes"/>
</file>