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0"/>
          <w:szCs w:val="30"/>
        </w:rPr>
        <w:t xml:space="preserve">Recency Bias and Hallucination in Longitudinal 3D CT Visual Question Answering</w:t>
      </w:r>
    </w:p>
    <w:p>
      <w:pPr>
        <w:spacing w:after="60"/>
        <w:jc w:val="center"/>
      </w:pPr>
      <w:r>
        <w:rPr>
          <w:rFonts w:ascii="Calibri" w:cs="Calibri" w:eastAsia="Calibri" w:hAnsi="Calibri"/>
          <w:color w:val="555555"/>
          <w:sz w:val="17"/>
          <w:szCs w:val="17"/>
        </w:rPr>
        <w:t xml:space="preserve">Research Proposal (One Page)  |  Md Mosharrof Hossain, B.Sc. CSE, Mymensingh Engineering College, Bangladesh  |  mdmosharrofhossain455@gmail.com  |  https://mosharrof8097.github.io</w:t>
      </w:r>
    </w:p>
    <w:p>
      <w:pPr>
        <w:pBdr>
          <w:bottom w:val="single" w:color="1F3864" w:sz="4" w:space="1"/>
        </w:pBdr>
        <w:spacing w:after="40" w:before="120"/>
      </w:pPr>
      <w:r>
        <w:rPr>
          <w:rFonts w:ascii="Calibri" w:cs="Calibri" w:eastAsia="Calibri" w:hAnsi="Calibri"/>
          <w:b/>
          <w:bCs/>
          <w:color w:val="1F3864"/>
          <w:sz w:val="21"/>
          <w:szCs w:val="21"/>
        </w:rPr>
        <w:t xml:space="preserve">1. Motivation</w:t>
      </w:r>
    </w:p>
    <w:p>
      <w:pPr>
        <w:spacing w:after="50"/>
        <w:jc w:val="both"/>
      </w:pPr>
      <w:r>
        <w:rPr>
          <w:rFonts w:ascii="Calibri" w:cs="Calibri" w:eastAsia="Calibri" w:hAnsi="Calibri"/>
          <w:sz w:val="19"/>
          <w:szCs w:val="19"/>
        </w:rPr>
        <w:t xml:space="preserve">Medical vision-language models (VLMs) are increasingly applied to 3D CT, yet the 3D-RAD benchmark (NeurIPS 2025 Datasets and Benchmarks) shows that existing VLMs generalize poorly on multi-temporal tasks, which mirror real clinical follow-up. When a model must compare a current scan (T1) with a prior scan (T0), an unfaithful answer, such as asserting progression or resolution that neither scan supports, is a clinically serious hallucination.</w:t>
      </w:r>
    </w:p>
    <w:p>
      <w:pPr>
        <w:pBdr>
          <w:bottom w:val="single" w:color="1F3864" w:sz="4" w:space="1"/>
        </w:pBdr>
        <w:spacing w:after="40" w:before="120"/>
      </w:pPr>
      <w:r>
        <w:rPr>
          <w:rFonts w:ascii="Calibri" w:cs="Calibri" w:eastAsia="Calibri" w:hAnsi="Calibri"/>
          <w:b/>
          <w:bCs/>
          <w:color w:val="1F3864"/>
          <w:sz w:val="21"/>
          <w:szCs w:val="21"/>
        </w:rPr>
        <w:t xml:space="preserve">2. Hypothesis</w:t>
      </w:r>
    </w:p>
    <w:p>
      <w:pPr>
        <w:spacing w:after="50"/>
        <w:jc w:val="both"/>
      </w:pPr>
      <w:r>
        <w:rPr>
          <w:rFonts w:ascii="Calibri" w:cs="Calibri" w:eastAsia="Calibri" w:hAnsi="Calibri"/>
          <w:sz w:val="19"/>
          <w:szCs w:val="19"/>
        </w:rPr>
        <w:t xml:space="preserve">Part of this failure is temporal recency bias: the model concentrates attention on the current scan and under-uses the prior study, producing fluent change statements that are not grounded in both timepoints. We hypothesize that the degree of recency bias is correlated with the longitudinal hallucination rate, and that it can be reduced with a paired-scan training objective.</w:t>
      </w:r>
    </w:p>
    <w:p>
      <w:pPr>
        <w:pBdr>
          <w:bottom w:val="single" w:color="1F3864" w:sz="4" w:space="1"/>
        </w:pBdr>
        <w:spacing w:after="40" w:before="120"/>
      </w:pPr>
      <w:r>
        <w:rPr>
          <w:rFonts w:ascii="Calibri" w:cs="Calibri" w:eastAsia="Calibri" w:hAnsi="Calibri"/>
          <w:b/>
          <w:bCs/>
          <w:color w:val="1F3864"/>
          <w:sz w:val="21"/>
          <w:szCs w:val="21"/>
        </w:rPr>
        <w:t xml:space="preserve">3. Work Completed</w:t>
      </w:r>
    </w:p>
    <w:p>
      <w:pPr>
        <w:pStyle w:val="ListParagraph"/>
        <w:numPr>
          <w:ilvl w:val="0"/>
          <w:numId w:val="2"/>
        </w:numPr>
        <w:spacing w:after="20"/>
      </w:pPr>
      <w:r>
        <w:rPr>
          <w:rFonts w:ascii="Calibri" w:cs="Calibri" w:eastAsia="Calibri" w:hAnsi="Calibri"/>
          <w:b/>
          <w:bCs/>
          <w:sz w:val="19"/>
          <w:szCs w:val="19"/>
        </w:rPr>
        <w:t xml:space="preserve">Data: </w:t>
      </w:r>
      <w:r>
        <w:rPr>
          <w:rFonts w:ascii="Calibri" w:cs="Calibri" w:eastAsia="Calibri" w:hAnsi="Calibri"/>
          <w:sz w:val="19"/>
          <w:szCs w:val="19"/>
        </w:rPr>
        <w:t xml:space="preserve">3,039 CT volumes and 33,910 QA records collected from 3D-RAD; patient-level 80/10/10 split (27,197 / 3,254 / 3,459 QA pairs) with zero patient, volume or VQA-pair leakage; five-algorithm duplicate audit (0.033% exact duplicates in train, no label conflicts; an image-hash check is being re-run to completion).</w:t>
      </w:r>
    </w:p>
    <w:p>
      <w:pPr>
        <w:pStyle w:val="ListParagraph"/>
        <w:numPr>
          <w:ilvl w:val="0"/>
          <w:numId w:val="2"/>
        </w:numPr>
        <w:spacing w:after="20"/>
      </w:pPr>
      <w:r>
        <w:rPr>
          <w:rFonts w:ascii="Calibri" w:cs="Calibri" w:eastAsia="Calibri" w:hAnsi="Calibri"/>
          <w:b/>
          <w:bCs/>
          <w:sz w:val="19"/>
          <w:szCs w:val="19"/>
        </w:rPr>
        <w:t xml:space="preserve">Baseline model: </w:t>
      </w:r>
      <w:r>
        <w:rPr>
          <w:rFonts w:ascii="Calibri" w:cs="Calibri" w:eastAsia="Calibri" w:hAnsi="Calibri"/>
          <w:sz w:val="19"/>
          <w:szCs w:val="19"/>
        </w:rPr>
        <w:t xml:space="preserve">2D slice encoder with a cross-attention depth aggregator feeding a LoRA-tuned Qwen2.5-1.5B; T0/T1 scan pairing for longitudinal items; an attention-based recency-bias ratio (weight on T1 slices relative to T0 slices). Baseline training is in progress on limited compute (single Kaggle T4 GPU).</w:t>
      </w:r>
    </w:p>
    <w:p>
      <w:pPr>
        <w:pBdr>
          <w:bottom w:val="single" w:color="1F3864" w:sz="4" w:space="1"/>
        </w:pBdr>
        <w:spacing w:after="40" w:before="120"/>
      </w:pPr>
      <w:r>
        <w:rPr>
          <w:rFonts w:ascii="Calibri" w:cs="Calibri" w:eastAsia="Calibri" w:hAnsi="Calibri"/>
          <w:b/>
          <w:bCs/>
          <w:color w:val="1F3864"/>
          <w:sz w:val="21"/>
          <w:szCs w:val="21"/>
        </w:rPr>
        <w:t xml:space="preserve">4. Planned Method and Contributions</w:t>
      </w:r>
    </w:p>
    <w:p>
      <w:pPr>
        <w:pStyle w:val="ListParagraph"/>
        <w:numPr>
          <w:ilvl w:val="0"/>
          <w:numId w:val="2"/>
        </w:numPr>
        <w:spacing w:after="20"/>
      </w:pPr>
      <w:r>
        <w:rPr>
          <w:rFonts w:ascii="Calibri" w:cs="Calibri" w:eastAsia="Calibri" w:hAnsi="Calibri"/>
          <w:b/>
          <w:bCs/>
          <w:sz w:val="19"/>
          <w:szCs w:val="19"/>
        </w:rPr>
        <w:t xml:space="preserve">Hallucination taxonomy </w:t>
      </w:r>
      <w:r>
        <w:rPr>
          <w:rFonts w:ascii="Calibri" w:cs="Calibri" w:eastAsia="Calibri" w:hAnsi="Calibri"/>
          <w:sz w:val="19"/>
          <w:szCs w:val="19"/>
        </w:rPr>
        <w:t xml:space="preserve">for longitudinal CT answers (e.g., unsupported change claims, ignored prior scan, contradiction with either scan), annotated on a stratified sample.</w:t>
      </w:r>
    </w:p>
    <w:p>
      <w:pPr>
        <w:pStyle w:val="ListParagraph"/>
        <w:numPr>
          <w:ilvl w:val="0"/>
          <w:numId w:val="2"/>
        </w:numPr>
        <w:spacing w:after="20"/>
      </w:pPr>
      <w:r>
        <w:rPr>
          <w:rFonts w:ascii="Calibri" w:cs="Calibri" w:eastAsia="Calibri" w:hAnsi="Calibri"/>
          <w:b/>
          <w:bCs/>
          <w:sz w:val="19"/>
          <w:szCs w:val="19"/>
        </w:rPr>
        <w:t xml:space="preserve">Detector </w:t>
      </w:r>
      <w:r>
        <w:rPr>
          <w:rFonts w:ascii="Calibri" w:cs="Calibri" w:eastAsia="Calibri" w:hAnsi="Calibri"/>
          <w:sz w:val="19"/>
          <w:szCs w:val="19"/>
        </w:rPr>
        <w:t xml:space="preserve">combining the recency-bias signal with answer-consistency checks (T0-only, T1-only and paired inference agreement).</w:t>
      </w:r>
    </w:p>
    <w:p>
      <w:pPr>
        <w:pStyle w:val="ListParagraph"/>
        <w:numPr>
          <w:ilvl w:val="0"/>
          <w:numId w:val="2"/>
        </w:numPr>
        <w:spacing w:after="20"/>
      </w:pPr>
      <w:r>
        <w:rPr>
          <w:rFonts w:ascii="Calibri" w:cs="Calibri" w:eastAsia="Calibri" w:hAnsi="Calibri"/>
          <w:b/>
          <w:bCs/>
          <w:sz w:val="19"/>
          <w:szCs w:val="19"/>
        </w:rPr>
        <w:t xml:space="preserve">Mitigation: </w:t>
      </w:r>
      <w:r>
        <w:rPr>
          <w:rFonts w:ascii="Calibri" w:cs="Calibri" w:eastAsia="Calibri" w:hAnsi="Calibri"/>
          <w:sz w:val="19"/>
          <w:szCs w:val="19"/>
        </w:rPr>
        <w:t xml:space="preserve">paired-scan training objective (e.g., scan-order and counterfactual-swap augmentation, temporal contrastive loss) to rebalance attention.</w:t>
      </w:r>
    </w:p>
    <w:p>
      <w:pPr>
        <w:pBdr>
          <w:bottom w:val="single" w:color="1F3864" w:sz="4" w:space="1"/>
        </w:pBdr>
        <w:spacing w:after="40" w:before="120"/>
      </w:pPr>
      <w:r>
        <w:rPr>
          <w:rFonts w:ascii="Calibri" w:cs="Calibri" w:eastAsia="Calibri" w:hAnsi="Calibri"/>
          <w:b/>
          <w:bCs/>
          <w:color w:val="1F3864"/>
          <w:sz w:val="21"/>
          <w:szCs w:val="21"/>
        </w:rPr>
        <w:t xml:space="preserve">5. Evaluation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5566"/>
        <w:gridCol w:w="3000"/>
      </w:tblGrid>
      <w:tr>
        <w:tc>
          <w:tcPr>
            <w:tcW w:type="dxa" w:w="1900"/>
            <w:shd w:fill="DCE6F1" w:color="auto" w:val="clear"/>
            <w:tcMar>
              <w:top w:type="dxa" w:w="30"/>
              <w:left w:type="dxa" w:w="80"/>
              <w:bottom w:type="dxa" w:w="30"/>
              <w:right w:type="dxa" w:w="80"/>
            </w:tcMar>
          </w:tcPr>
          <w:p>
            <w:r>
              <w:rPr>
                <w:rFonts w:ascii="Calibri" w:cs="Calibri" w:eastAsia="Calibri" w:hAnsi="Calibri"/>
                <w:b/>
                <w:bCs/>
                <w:sz w:val="18"/>
                <w:szCs w:val="18"/>
              </w:rPr>
              <w:t xml:space="preserve">Component</w:t>
            </w:r>
          </w:p>
        </w:tc>
        <w:tc>
          <w:tcPr>
            <w:tcW w:type="dxa" w:w="5566"/>
            <w:shd w:fill="DCE6F1" w:color="auto" w:val="clear"/>
            <w:tcMar>
              <w:top w:type="dxa" w:w="30"/>
              <w:left w:type="dxa" w:w="80"/>
              <w:bottom w:type="dxa" w:w="30"/>
              <w:right w:type="dxa" w:w="80"/>
            </w:tcMar>
          </w:tcPr>
          <w:p>
            <w:r>
              <w:rPr>
                <w:rFonts w:ascii="Calibri" w:cs="Calibri" w:eastAsia="Calibri" w:hAnsi="Calibri"/>
                <w:b/>
                <w:bCs/>
                <w:sz w:val="18"/>
                <w:szCs w:val="18"/>
              </w:rPr>
              <w:t xml:space="preserve">Measure</w:t>
            </w:r>
          </w:p>
        </w:tc>
        <w:tc>
          <w:tcPr>
            <w:tcW w:type="dxa" w:w="3000"/>
            <w:shd w:fill="DCE6F1" w:color="auto" w:val="clear"/>
            <w:tcMar>
              <w:top w:type="dxa" w:w="30"/>
              <w:left w:type="dxa" w:w="80"/>
              <w:bottom w:type="dxa" w:w="30"/>
              <w:right w:type="dxa" w:w="80"/>
            </w:tcMar>
          </w:tcPr>
          <w:p>
            <w:r>
              <w:rPr>
                <w:rFonts w:ascii="Calibri" w:cs="Calibri" w:eastAsia="Calibri" w:hAnsi="Calibri"/>
                <w:b/>
                <w:bCs/>
                <w:sz w:val="18"/>
                <w:szCs w:val="18"/>
              </w:rPr>
              <w:t xml:space="preserve">Comparison</w:t>
            </w:r>
          </w:p>
        </w:tc>
      </w:tr>
      <w:tr>
        <w:tc>
          <w:tcPr>
            <w:tcW w:type="dxa" w:w="1900"/>
            <w:tcMar>
              <w:top w:type="dxa" w:w="30"/>
              <w:left w:type="dxa" w:w="80"/>
              <w:bottom w:type="dxa" w:w="30"/>
              <w:right w:type="dxa" w:w="80"/>
            </w:tcMar>
          </w:tcPr>
          <w:p>
            <w:r>
              <w:rPr>
                <w:rFonts w:ascii="Calibri" w:cs="Calibri" w:eastAsia="Calibri" w:hAnsi="Calibri"/>
                <w:b w:val="false"/>
                <w:bCs w:val="false"/>
                <w:sz w:val="18"/>
                <w:szCs w:val="18"/>
              </w:rPr>
              <w:t xml:space="preserve">Task accuracy</w:t>
            </w:r>
          </w:p>
        </w:tc>
        <w:tc>
          <w:tcPr>
            <w:tcW w:type="dxa" w:w="5566"/>
            <w:tcMar>
              <w:top w:type="dxa" w:w="30"/>
              <w:left w:type="dxa" w:w="80"/>
              <w:bottom w:type="dxa" w:w="30"/>
              <w:right w:type="dxa" w:w="80"/>
            </w:tcMar>
          </w:tcPr>
          <w:p>
            <w:r>
              <w:rPr>
                <w:rFonts w:ascii="Calibri" w:cs="Calibri" w:eastAsia="Calibri" w:hAnsi="Calibri"/>
                <w:b w:val="false"/>
                <w:bCs w:val="false"/>
                <w:sz w:val="18"/>
                <w:szCs w:val="18"/>
              </w:rPr>
              <w:t xml:space="preserve">Closed-ended accuracy and open-ended scores on 3D-RAD temporal tasks</w:t>
            </w:r>
          </w:p>
        </w:tc>
        <w:tc>
          <w:tcPr>
            <w:tcW w:type="dxa" w:w="3000"/>
            <w:tcMar>
              <w:top w:type="dxa" w:w="30"/>
              <w:left w:type="dxa" w:w="80"/>
              <w:bottom w:type="dxa" w:w="30"/>
              <w:right w:type="dxa" w:w="80"/>
            </w:tcMar>
          </w:tcPr>
          <w:p>
            <w:r>
              <w:rPr>
                <w:rFonts w:ascii="Calibri" w:cs="Calibri" w:eastAsia="Calibri" w:hAnsi="Calibri"/>
                <w:b w:val="false"/>
                <w:bCs w:val="false"/>
                <w:sz w:val="18"/>
                <w:szCs w:val="18"/>
              </w:rPr>
              <w:t xml:space="preserve">RadFM, M3D, CT-CHAT; our baseline</w:t>
            </w:r>
          </w:p>
        </w:tc>
      </w:tr>
      <w:tr>
        <w:tc>
          <w:tcPr>
            <w:tcW w:type="dxa" w:w="1900"/>
            <w:tcMar>
              <w:top w:type="dxa" w:w="30"/>
              <w:left w:type="dxa" w:w="80"/>
              <w:bottom w:type="dxa" w:w="30"/>
              <w:right w:type="dxa" w:w="80"/>
            </w:tcMar>
          </w:tcPr>
          <w:p>
            <w:r>
              <w:rPr>
                <w:rFonts w:ascii="Calibri" w:cs="Calibri" w:eastAsia="Calibri" w:hAnsi="Calibri"/>
                <w:b w:val="false"/>
                <w:bCs w:val="false"/>
                <w:sz w:val="18"/>
                <w:szCs w:val="18"/>
              </w:rPr>
              <w:t xml:space="preserve">Recency bias</w:t>
            </w:r>
          </w:p>
        </w:tc>
        <w:tc>
          <w:tcPr>
            <w:tcW w:type="dxa" w:w="5566"/>
            <w:tcMar>
              <w:top w:type="dxa" w:w="30"/>
              <w:left w:type="dxa" w:w="80"/>
              <w:bottom w:type="dxa" w:w="30"/>
              <w:right w:type="dxa" w:w="80"/>
            </w:tcMar>
          </w:tcPr>
          <w:p>
            <w:r>
              <w:rPr>
                <w:rFonts w:ascii="Calibri" w:cs="Calibri" w:eastAsia="Calibri" w:hAnsi="Calibri"/>
                <w:b w:val="false"/>
                <w:bCs w:val="false"/>
                <w:sz w:val="18"/>
                <w:szCs w:val="18"/>
              </w:rPr>
              <w:t xml:space="preserve">T1/T0 attention ratio on correctly paired items only</w:t>
            </w:r>
          </w:p>
        </w:tc>
        <w:tc>
          <w:tcPr>
            <w:tcW w:type="dxa" w:w="3000"/>
            <w:tcMar>
              <w:top w:type="dxa" w:w="30"/>
              <w:left w:type="dxa" w:w="80"/>
              <w:bottom w:type="dxa" w:w="30"/>
              <w:right w:type="dxa" w:w="80"/>
            </w:tcMar>
          </w:tcPr>
          <w:p>
            <w:r>
              <w:rPr>
                <w:rFonts w:ascii="Calibri" w:cs="Calibri" w:eastAsia="Calibri" w:hAnsi="Calibri"/>
                <w:b w:val="false"/>
                <w:bCs w:val="false"/>
                <w:sz w:val="18"/>
                <w:szCs w:val="18"/>
              </w:rPr>
              <w:t xml:space="preserve">Before vs. after mitigation</w:t>
            </w:r>
          </w:p>
        </w:tc>
      </w:tr>
      <w:tr>
        <w:tc>
          <w:tcPr>
            <w:tcW w:type="dxa" w:w="1900"/>
            <w:tcMar>
              <w:top w:type="dxa" w:w="30"/>
              <w:left w:type="dxa" w:w="80"/>
              <w:bottom w:type="dxa" w:w="30"/>
              <w:right w:type="dxa" w:w="80"/>
            </w:tcMar>
          </w:tcPr>
          <w:p>
            <w:r>
              <w:rPr>
                <w:rFonts w:ascii="Calibri" w:cs="Calibri" w:eastAsia="Calibri" w:hAnsi="Calibri"/>
                <w:b w:val="false"/>
                <w:bCs w:val="false"/>
                <w:sz w:val="18"/>
                <w:szCs w:val="18"/>
              </w:rPr>
              <w:t xml:space="preserve">Hallucination</w:t>
            </w:r>
          </w:p>
        </w:tc>
        <w:tc>
          <w:tcPr>
            <w:tcW w:type="dxa" w:w="5566"/>
            <w:tcMar>
              <w:top w:type="dxa" w:w="30"/>
              <w:left w:type="dxa" w:w="80"/>
              <w:bottom w:type="dxa" w:w="30"/>
              <w:right w:type="dxa" w:w="80"/>
            </w:tcMar>
          </w:tcPr>
          <w:p>
            <w:r>
              <w:rPr>
                <w:rFonts w:ascii="Calibri" w:cs="Calibri" w:eastAsia="Calibri" w:hAnsi="Calibri"/>
                <w:b w:val="false"/>
                <w:bCs w:val="false"/>
                <w:sz w:val="18"/>
                <w:szCs w:val="18"/>
              </w:rPr>
              <w:t xml:space="preserve">Taxonomy-based rate; detector AUROC / F1</w:t>
            </w:r>
          </w:p>
        </w:tc>
        <w:tc>
          <w:tcPr>
            <w:tcW w:type="dxa" w:w="3000"/>
            <w:tcMar>
              <w:top w:type="dxa" w:w="30"/>
              <w:left w:type="dxa" w:w="80"/>
              <w:bottom w:type="dxa" w:w="30"/>
              <w:right w:type="dxa" w:w="80"/>
            </w:tcMar>
          </w:tcPr>
          <w:p>
            <w:r>
              <w:rPr>
                <w:rFonts w:ascii="Calibri" w:cs="Calibri" w:eastAsia="Calibri" w:hAnsi="Calibri"/>
                <w:b w:val="false"/>
                <w:bCs w:val="false"/>
                <w:sz w:val="18"/>
                <w:szCs w:val="18"/>
              </w:rPr>
              <w:t xml:space="preserve">Random and text-only detectors</w:t>
            </w:r>
          </w:p>
        </w:tc>
      </w:tr>
    </w:tbl>
    <w:p>
      <w:pPr>
        <w:pBdr>
          <w:bottom w:val="single" w:color="1F3864" w:sz="4" w:space="1"/>
        </w:pBdr>
        <w:spacing w:after="40" w:before="120"/>
      </w:pPr>
      <w:r>
        <w:rPr>
          <w:rFonts w:ascii="Calibri" w:cs="Calibri" w:eastAsia="Calibri" w:hAnsi="Calibri"/>
          <w:b/>
          <w:bCs/>
          <w:color w:val="1F3864"/>
          <w:sz w:val="21"/>
          <w:szCs w:val="21"/>
        </w:rPr>
        <w:t xml:space="preserve">6. Proposed Timeline (6 months)</w:t>
      </w:r>
    </w:p>
    <w:p>
      <w:pPr>
        <w:spacing w:after="50"/>
        <w:jc w:val="both"/>
      </w:pPr>
      <w:r>
        <w:rPr>
          <w:rFonts w:ascii="Calibri" w:cs="Calibri" w:eastAsia="Calibri" w:hAnsi="Calibri"/>
          <w:sz w:val="19"/>
          <w:szCs w:val="19"/>
        </w:rPr>
        <w:t xml:space="preserve">Months 1-2: finish baselines and recency-bias analysis. Months 3-4: taxonomy, annotation and detector. Months 5-6: mitigation experiments, ablations and a Q1-journal manuscript. Data use follows the CT-RATE license (non-commercial academic use with attribution).</w:t>
      </w:r>
    </w:p>
    <w:p>
      <w:pPr>
        <w:pBdr>
          <w:bottom w:val="single" w:color="1F3864" w:sz="4" w:space="1"/>
        </w:pBdr>
        <w:spacing w:after="40" w:before="120"/>
      </w:pPr>
      <w:r>
        <w:rPr>
          <w:rFonts w:ascii="Calibri" w:cs="Calibri" w:eastAsia="Calibri" w:hAnsi="Calibri"/>
          <w:b/>
          <w:bCs/>
          <w:color w:val="1F3864"/>
          <w:sz w:val="21"/>
          <w:szCs w:val="21"/>
        </w:rPr>
        <w:t xml:space="preserve">7. Support Requested</w:t>
      </w:r>
    </w:p>
    <w:p>
      <w:pPr>
        <w:spacing w:after="50"/>
        <w:jc w:val="both"/>
      </w:pPr>
      <w:r>
        <w:rPr>
          <w:rFonts w:ascii="Calibri" w:cs="Calibri" w:eastAsia="Calibri" w:hAnsi="Calibri"/>
          <w:sz w:val="19"/>
          <w:szCs w:val="19"/>
        </w:rPr>
        <w:t xml:space="preserve">Supervision and feedback on the research design; compute access (single-GPU Kaggle training is the main bottleneck); and a funded research assistantship or stipend, if available. I am glad to share the code, split files and audit report.</w:t>
      </w:r>
    </w:p>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2026-10-03T19:22:45.952Z</dcterms:created>
  <dcterms:modified xsi:type="dcterms:W3CDTF">2026-10-03T19:22:45.962Z</dcterms:modified>
</cp:coreProperties>
</file>

<file path=docProps/custom.xml><?xml version="1.0" encoding="utf-8"?>
<Properties xmlns="http://schemas.openxmlformats.org/officeDocument/2006/custom-properties" xmlns:vt="http://schemas.openxmlformats.org/officeDocument/2006/docPropsVTypes"/>
</file>