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1539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"/>
        <w:gridCol w:w="2300"/>
        <w:gridCol w:w="2600"/>
        <w:gridCol w:w="4600"/>
        <w:gridCol w:w="2600"/>
        <w:gridCol w:w="2898"/>
      </w:tblGrid>
      <w:tr w14:paraId="339FF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00" w:type="dxa"/>
            <w:tcBorders>
              <w:top w:val="single" w:color="D9E1DF" w:sz="4" w:space="0"/>
              <w:left w:val="single" w:color="D9E1DF" w:sz="4" w:space="0"/>
              <w:bottom w:val="single" w:color="D9E1DF" w:sz="4" w:space="0"/>
              <w:right w:val="single" w:color="D9E1DF" w:sz="4" w:space="0"/>
            </w:tcBorders>
            <w:shd w:val="clear" w:color="auto" w:fill="E1F0E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666724">
            <w:pPr>
              <w:spacing w:after="60"/>
            </w:pPr>
            <w:r>
              <w:rPr>
                <w:rFonts w:ascii="Arial" w:hAnsi="Arial" w:eastAsia="Arial" w:cs="Arial"/>
                <w:b/>
                <w:bCs/>
                <w:color w:val="0F6B63"/>
                <w:sz w:val="17"/>
                <w:szCs w:val="17"/>
              </w:rPr>
              <w:t>#</w:t>
            </w:r>
          </w:p>
        </w:tc>
        <w:tc>
          <w:tcPr>
            <w:tcW w:w="2300" w:type="dxa"/>
            <w:tcBorders>
              <w:top w:val="single" w:color="D9E1DF" w:sz="4" w:space="0"/>
              <w:left w:val="single" w:color="D9E1DF" w:sz="4" w:space="0"/>
              <w:bottom w:val="single" w:color="D9E1DF" w:sz="4" w:space="0"/>
              <w:right w:val="single" w:color="D9E1DF" w:sz="4" w:space="0"/>
            </w:tcBorders>
            <w:shd w:val="clear" w:color="auto" w:fill="E1F0E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5E17D9">
            <w:pPr>
              <w:spacing w:after="60"/>
            </w:pPr>
            <w:r>
              <w:rPr>
                <w:rFonts w:ascii="Arial" w:hAnsi="Arial" w:eastAsia="Arial" w:cs="Arial"/>
                <w:b/>
                <w:bCs/>
                <w:color w:val="0F6B63"/>
                <w:sz w:val="17"/>
                <w:szCs w:val="17"/>
              </w:rPr>
              <w:t>Paper</w:t>
            </w:r>
          </w:p>
        </w:tc>
        <w:tc>
          <w:tcPr>
            <w:tcW w:w="2600" w:type="dxa"/>
            <w:tcBorders>
              <w:top w:val="single" w:color="D9E1DF" w:sz="4" w:space="0"/>
              <w:left w:val="single" w:color="D9E1DF" w:sz="4" w:space="0"/>
              <w:bottom w:val="single" w:color="D9E1DF" w:sz="4" w:space="0"/>
              <w:right w:val="single" w:color="D9E1DF" w:sz="4" w:space="0"/>
            </w:tcBorders>
            <w:shd w:val="clear" w:color="auto" w:fill="E1F0E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7BD7CD">
            <w:pPr>
              <w:spacing w:after="60"/>
            </w:pPr>
            <w:r>
              <w:rPr>
                <w:rFonts w:ascii="Arial" w:hAnsi="Arial" w:eastAsia="Arial" w:cs="Arial"/>
                <w:b/>
                <w:bCs/>
                <w:color w:val="0F6B63"/>
                <w:sz w:val="17"/>
                <w:szCs w:val="17"/>
              </w:rPr>
              <w:t>Dataset &amp; links</w:t>
            </w:r>
          </w:p>
        </w:tc>
        <w:tc>
          <w:tcPr>
            <w:tcW w:w="4600" w:type="dxa"/>
            <w:tcBorders>
              <w:top w:val="single" w:color="D9E1DF" w:sz="4" w:space="0"/>
              <w:left w:val="single" w:color="D9E1DF" w:sz="4" w:space="0"/>
              <w:bottom w:val="single" w:color="D9E1DF" w:sz="4" w:space="0"/>
              <w:right w:val="single" w:color="D9E1DF" w:sz="4" w:space="0"/>
            </w:tcBorders>
            <w:shd w:val="clear" w:color="auto" w:fill="E1F0E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F5481C">
            <w:pPr>
              <w:spacing w:after="60"/>
            </w:pPr>
            <w:r>
              <w:rPr>
                <w:rFonts w:ascii="Arial" w:hAnsi="Arial" w:eastAsia="Arial" w:cs="Arial"/>
                <w:b/>
                <w:bCs/>
                <w:color w:val="0F6B63"/>
                <w:sz w:val="17"/>
                <w:szCs w:val="17"/>
              </w:rPr>
              <w:t>Method (step by step)</w:t>
            </w:r>
          </w:p>
        </w:tc>
        <w:tc>
          <w:tcPr>
            <w:tcW w:w="2600" w:type="dxa"/>
            <w:tcBorders>
              <w:top w:val="single" w:color="D9E1DF" w:sz="4" w:space="0"/>
              <w:left w:val="single" w:color="D9E1DF" w:sz="4" w:space="0"/>
              <w:bottom w:val="single" w:color="D9E1DF" w:sz="4" w:space="0"/>
              <w:right w:val="single" w:color="D9E1DF" w:sz="4" w:space="0"/>
            </w:tcBorders>
            <w:shd w:val="clear" w:color="auto" w:fill="E1F0E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5FEF5F">
            <w:pPr>
              <w:spacing w:after="60"/>
            </w:pPr>
            <w:r>
              <w:rPr>
                <w:rFonts w:ascii="Arial" w:hAnsi="Arial" w:eastAsia="Arial" w:cs="Arial"/>
                <w:b/>
                <w:bCs/>
                <w:color w:val="0F6B63"/>
                <w:sz w:val="17"/>
                <w:szCs w:val="17"/>
              </w:rPr>
              <w:t>Accuracy / key results</w:t>
            </w:r>
          </w:p>
        </w:tc>
        <w:tc>
          <w:tcPr>
            <w:tcW w:w="2898" w:type="dxa"/>
            <w:tcBorders>
              <w:top w:val="single" w:color="D9E1DF" w:sz="4" w:space="0"/>
              <w:left w:val="single" w:color="D9E1DF" w:sz="4" w:space="0"/>
              <w:bottom w:val="single" w:color="D9E1DF" w:sz="4" w:space="0"/>
              <w:right w:val="single" w:color="D9E1DF" w:sz="4" w:space="0"/>
            </w:tcBorders>
            <w:shd w:val="clear" w:color="auto" w:fill="E1F0E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876D59">
            <w:pPr>
              <w:spacing w:after="60"/>
            </w:pPr>
            <w:r>
              <w:rPr>
                <w:rFonts w:ascii="Arial" w:hAnsi="Arial" w:eastAsia="Arial" w:cs="Arial"/>
                <w:b/>
                <w:bCs/>
                <w:color w:val="0F6B63"/>
                <w:sz w:val="17"/>
                <w:szCs w:val="17"/>
              </w:rPr>
              <w:t>SOTA study explained</w:t>
            </w:r>
          </w:p>
        </w:tc>
      </w:tr>
      <w:tr w14:paraId="1D78B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D9E1DF" w:sz="4" w:space="0"/>
              <w:left w:val="single" w:color="D9E1DF" w:sz="4" w:space="0"/>
              <w:bottom w:val="single" w:color="D9E1DF" w:sz="4" w:space="0"/>
              <w:right w:val="single" w:color="D9E1DF" w:sz="4" w:space="0"/>
            </w:tcBorders>
            <w:shd w:val="clear" w:color="auto" w:fill="FBEFD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CFF45D">
            <w:pPr>
              <w:spacing w:after="60"/>
            </w:pPr>
            <w:r>
              <w:rPr>
                <w:rFonts w:ascii="Arial" w:hAnsi="Arial" w:eastAsia="Arial" w:cs="Arial"/>
                <w:color w:val="56655F"/>
                <w:sz w:val="16"/>
                <w:szCs w:val="16"/>
              </w:rPr>
              <w:t>1</w:t>
            </w:r>
          </w:p>
        </w:tc>
        <w:tc>
          <w:tcPr>
            <w:tcW w:w="2300" w:type="dxa"/>
            <w:tcBorders>
              <w:top w:val="single" w:color="D9E1DF" w:sz="4" w:space="0"/>
              <w:left w:val="single" w:color="D9E1DF" w:sz="4" w:space="0"/>
              <w:bottom w:val="single" w:color="D9E1DF" w:sz="4" w:space="0"/>
              <w:right w:val="single" w:color="D9E1DF" w:sz="4" w:space="0"/>
            </w:tcBorders>
            <w:shd w:val="clear" w:color="auto" w:fill="FBEFD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D58E4F">
            <w:pPr>
              <w:spacing w:after="60"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>A data-efficient 3D medical vision-language model using only a 2D encoder</w:t>
            </w:r>
          </w:p>
          <w:p w14:paraId="5F2487D6">
            <w:pPr>
              <w:spacing w:after="60"/>
            </w:pPr>
            <w:r>
              <w:rPr>
                <w:rFonts w:ascii="Arial" w:hAnsi="Arial" w:eastAsia="Arial" w:cs="Arial"/>
                <w:i/>
                <w:iCs/>
                <w:color w:val="56655F"/>
                <w:sz w:val="16"/>
                <w:szCs w:val="16"/>
              </w:rPr>
              <w:t>Lian et al., Scientific Reports 16:8809 (2026)</w:t>
            </w:r>
          </w:p>
          <w:p w14:paraId="6BA845F9">
            <w:pPr>
              <w:spacing w:after="60"/>
            </w:pPr>
            <w:r>
              <w:rPr>
                <w:rFonts w:ascii="Arial" w:hAnsi="Arial" w:eastAsia="Arial" w:cs="Arial"/>
                <w:b/>
                <w:bCs/>
                <w:color w:val="8A4B08"/>
                <w:sz w:val="15"/>
                <w:szCs w:val="15"/>
              </w:rPr>
              <w:t>Current best on M3D</w:t>
            </w:r>
          </w:p>
        </w:tc>
        <w:tc>
          <w:tcPr>
            <w:tcW w:w="2600" w:type="dxa"/>
            <w:tcBorders>
              <w:top w:val="single" w:color="D9E1DF" w:sz="4" w:space="0"/>
              <w:left w:val="single" w:color="D9E1DF" w:sz="4" w:space="0"/>
              <w:bottom w:val="single" w:color="D9E1DF" w:sz="4" w:space="0"/>
              <w:right w:val="single" w:color="D9E1DF" w:sz="4" w:space="0"/>
            </w:tcBorders>
            <w:shd w:val="clear" w:color="auto" w:fill="FBEFD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D18F3D">
            <w:pPr>
              <w:spacing w:after="60"/>
            </w:pPr>
            <w:r>
              <w:rPr>
                <w:rFonts w:ascii="Arial" w:hAnsi="Arial" w:eastAsia="Arial" w:cs="Arial"/>
                <w:sz w:val="16"/>
                <w:szCs w:val="16"/>
              </w:rPr>
              <w:t>M3D-Cap (report generation) and M3D-VQA (open + closed VQA) from M3D-Data; CT resized to 50×224×224. BraTS 2023 and AutoPET for cross-modal tests.</w:t>
            </w:r>
          </w:p>
          <w:p w14:paraId="4145F85C">
            <w:pPr>
              <w:pStyle w:val="17"/>
              <w:numPr>
                <w:ilvl w:val="0"/>
                <w:numId w:val="1"/>
              </w:numPr>
              <w:spacing w:after="40"/>
            </w:pPr>
            <w:r>
              <w:fldChar w:fldCharType="begin"/>
            </w:r>
            <w:r>
              <w:instrText xml:space="preserve"> HYPERLINK "https://huggingface.co/datasets/GoodBaiBai88/M3D-Cap" </w:instrText>
            </w:r>
            <w:r>
              <w:fldChar w:fldCharType="separate"/>
            </w:r>
            <w:r>
              <w:rPr>
                <w:rStyle w:val="15"/>
                <w:rFonts w:ascii="Arial" w:hAnsi="Arial" w:eastAsia="Arial" w:cs="Arial"/>
                <w:sz w:val="16"/>
                <w:szCs w:val="16"/>
              </w:rPr>
              <w:t>M3D-Cap (Hugging Face)</w:t>
            </w:r>
            <w:r>
              <w:rPr>
                <w:rStyle w:val="15"/>
                <w:rFonts w:ascii="Arial" w:hAnsi="Arial" w:eastAsia="Arial" w:cs="Arial"/>
                <w:sz w:val="16"/>
                <w:szCs w:val="16"/>
              </w:rPr>
              <w:fldChar w:fldCharType="end"/>
            </w:r>
          </w:p>
          <w:p w14:paraId="67B65868">
            <w:pPr>
              <w:pStyle w:val="17"/>
              <w:numPr>
                <w:ilvl w:val="0"/>
                <w:numId w:val="1"/>
              </w:numPr>
              <w:spacing w:after="40"/>
            </w:pPr>
            <w:r>
              <w:fldChar w:fldCharType="begin"/>
            </w:r>
            <w:r>
              <w:instrText xml:space="preserve"> HYPERLINK "https://huggingface.co/datasets/GoodBaiBai88/M3D-VQA" </w:instrText>
            </w:r>
            <w:r>
              <w:fldChar w:fldCharType="separate"/>
            </w:r>
            <w:r>
              <w:rPr>
                <w:rStyle w:val="15"/>
                <w:rFonts w:ascii="Arial" w:hAnsi="Arial" w:eastAsia="Arial" w:cs="Arial"/>
                <w:sz w:val="16"/>
                <w:szCs w:val="16"/>
              </w:rPr>
              <w:t>M3D-VQA (Hugging Face)</w:t>
            </w:r>
            <w:r>
              <w:rPr>
                <w:rStyle w:val="15"/>
                <w:rFonts w:ascii="Arial" w:hAnsi="Arial" w:eastAsia="Arial" w:cs="Arial"/>
                <w:sz w:val="16"/>
                <w:szCs w:val="16"/>
              </w:rPr>
              <w:fldChar w:fldCharType="end"/>
            </w:r>
          </w:p>
          <w:p w14:paraId="244A2EE6">
            <w:pPr>
              <w:pStyle w:val="17"/>
              <w:numPr>
                <w:ilvl w:val="0"/>
                <w:numId w:val="1"/>
              </w:numPr>
              <w:spacing w:after="40"/>
            </w:pPr>
            <w:r>
              <w:fldChar w:fldCharType="begin"/>
            </w:r>
            <w:r>
              <w:instrText xml:space="preserve"> HYPERLINK "https://github.com/BAAI-DCAI/M3D" </w:instrText>
            </w:r>
            <w:r>
              <w:fldChar w:fldCharType="separate"/>
            </w:r>
            <w:r>
              <w:rPr>
                <w:rStyle w:val="15"/>
                <w:rFonts w:ascii="Arial" w:hAnsi="Arial" w:eastAsia="Arial" w:cs="Arial"/>
                <w:sz w:val="16"/>
                <w:szCs w:val="16"/>
              </w:rPr>
              <w:t>M3D official repo</w:t>
            </w:r>
            <w:r>
              <w:rPr>
                <w:rStyle w:val="15"/>
                <w:rFonts w:ascii="Arial" w:hAnsi="Arial" w:eastAsia="Arial" w:cs="Arial"/>
                <w:sz w:val="16"/>
                <w:szCs w:val="16"/>
              </w:rPr>
              <w:fldChar w:fldCharType="end"/>
            </w:r>
          </w:p>
        </w:tc>
        <w:tc>
          <w:tcPr>
            <w:tcW w:w="4600" w:type="dxa"/>
            <w:tcBorders>
              <w:top w:val="single" w:color="D9E1DF" w:sz="4" w:space="0"/>
              <w:left w:val="single" w:color="D9E1DF" w:sz="4" w:space="0"/>
              <w:bottom w:val="single" w:color="D9E1DF" w:sz="4" w:space="0"/>
              <w:right w:val="single" w:color="D9E1DF" w:sz="4" w:space="0"/>
            </w:tcBorders>
            <w:shd w:val="clear" w:color="auto" w:fill="FBEFD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0A963C">
            <w:pPr>
              <w:pStyle w:val="17"/>
              <w:numPr>
                <w:ilvl w:val="0"/>
                <w:numId w:val="2"/>
              </w:numPr>
              <w:spacing w:after="50"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Slice the 3D CT: </w:t>
            </w:r>
            <w:r>
              <w:rPr>
                <w:rFonts w:ascii="Arial" w:hAnsi="Arial" w:eastAsia="Arial" w:cs="Arial"/>
                <w:sz w:val="16"/>
                <w:szCs w:val="16"/>
              </w:rPr>
              <w:t>The volume is treated as a stack of 2D slices.</w:t>
            </w:r>
          </w:p>
          <w:p w14:paraId="7E0D3498">
            <w:pPr>
              <w:pStyle w:val="17"/>
              <w:numPr>
                <w:ilvl w:val="0"/>
                <w:numId w:val="2"/>
              </w:numPr>
              <w:spacing w:after="50"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Encode each slice with a 2D encoder: </w:t>
            </w:r>
            <w:r>
              <w:rPr>
                <w:rFonts w:ascii="Arial" w:hAnsi="Arial" w:eastAsia="Arial" w:cs="Arial"/>
                <w:sz w:val="16"/>
                <w:szCs w:val="16"/>
              </w:rPr>
              <w:t>A frozen, pre-trained BiomedCLIP ViT-B/16 turns every slice into features. No 3D encoder is trained.</w:t>
            </w:r>
          </w:p>
          <w:p w14:paraId="7FB03AC5">
            <w:pPr>
              <w:pStyle w:val="17"/>
              <w:numPr>
                <w:ilvl w:val="0"/>
                <w:numId w:val="2"/>
              </w:numPr>
              <w:spacing w:after="50"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Remove duplicate slices: </w:t>
            </w:r>
            <w:r>
              <w:rPr>
                <w:rFonts w:ascii="Arial" w:hAnsi="Arial" w:eastAsia="Arial" w:cs="Arial"/>
                <w:sz w:val="16"/>
                <w:szCs w:val="16"/>
              </w:rPr>
              <w:t>Neighbouring slices that look alike (high cosine similarity) are dropped; about 28% are kept, which saves compute.</w:t>
            </w:r>
          </w:p>
          <w:p w14:paraId="0F39667F">
            <w:pPr>
              <w:pStyle w:val="17"/>
              <w:numPr>
                <w:ilvl w:val="0"/>
                <w:numId w:val="2"/>
              </w:numPr>
              <w:spacing w:after="50"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Fuse spatial and frequency information: </w:t>
            </w:r>
            <w:r>
              <w:rPr>
                <w:rFonts w:ascii="Arial" w:hAnsi="Arial" w:eastAsia="Arial" w:cs="Arial"/>
                <w:sz w:val="16"/>
                <w:szCs w:val="16"/>
              </w:rPr>
              <w:t>A 3D FFT moves slice features into the frequency domain to model how slices relate, then an inverse FFT brings them back and fuses them with the spatial features.</w:t>
            </w:r>
          </w:p>
          <w:p w14:paraId="37C60F68">
            <w:pPr>
              <w:pStyle w:val="17"/>
              <w:numPr>
                <w:ilvl w:val="0"/>
                <w:numId w:val="2"/>
              </w:numPr>
              <w:spacing w:after="50"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Compress, then re-inject detail: </w:t>
            </w:r>
            <w:r>
              <w:rPr>
                <w:rFonts w:ascii="Arial" w:hAnsi="Arial" w:eastAsia="Arial" w:cs="Arial"/>
                <w:sz w:val="16"/>
                <w:szCs w:val="16"/>
              </w:rPr>
              <w:t>Features are downsampled into a few visual tokens; a fine-grained injection step adds back high-resolution detail lost in compression.</w:t>
            </w:r>
          </w:p>
          <w:p w14:paraId="421DEA21">
            <w:pPr>
              <w:pStyle w:val="17"/>
              <w:numPr>
                <w:ilvl w:val="0"/>
                <w:numId w:val="2"/>
              </w:numPr>
              <w:spacing w:after="50"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Generate text with the LLM: </w:t>
            </w:r>
            <w:r>
              <w:rPr>
                <w:rFonts w:ascii="Arial" w:hAnsi="Arial" w:eastAsia="Arial" w:cs="Arial"/>
                <w:sz w:val="16"/>
                <w:szCs w:val="16"/>
              </w:rPr>
              <w:t>Visual tokens plus the question go to LLaMA-2-7B, which writes the report or answer.</w:t>
            </w:r>
          </w:p>
          <w:p w14:paraId="2A44CF61">
            <w:pPr>
              <w:pStyle w:val="17"/>
              <w:numPr>
                <w:ilvl w:val="0"/>
                <w:numId w:val="2"/>
              </w:numPr>
              <w:spacing w:after="50"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Train in two stages: </w:t>
            </w:r>
            <w:r>
              <w:rPr>
                <w:rFonts w:ascii="Arial" w:hAnsi="Arial" w:eastAsia="Arial" w:cs="Arial"/>
                <w:sz w:val="16"/>
                <w:szCs w:val="16"/>
              </w:rPr>
              <w:t>Stage 1 aligns image and text with encoder and LLM frozen; stage 2 fine-tunes on report and VQA tasks.</w:t>
            </w:r>
          </w:p>
          <w:p w14:paraId="795C42E9">
            <w:pPr>
              <w:spacing w:before="60"/>
            </w:pPr>
            <w:r>
              <w:rPr>
                <w:rFonts w:ascii="Arial" w:hAnsi="Arial" w:eastAsia="Arial" w:cs="Arial"/>
                <w:b/>
                <w:bCs/>
                <w:color w:val="0F6B63"/>
                <w:sz w:val="15"/>
                <w:szCs w:val="15"/>
              </w:rPr>
              <w:t>Flow: CT → 2D BiomedCLIP → prune → FFT fusion → inject detail → LLaMA-2</w:t>
            </w:r>
          </w:p>
        </w:tc>
        <w:tc>
          <w:tcPr>
            <w:tcW w:w="2600" w:type="dxa"/>
            <w:tcBorders>
              <w:top w:val="single" w:color="D9E1DF" w:sz="4" w:space="0"/>
              <w:left w:val="single" w:color="D9E1DF" w:sz="4" w:space="0"/>
              <w:bottom w:val="single" w:color="D9E1DF" w:sz="4" w:space="0"/>
              <w:right w:val="single" w:color="D9E1DF" w:sz="4" w:space="0"/>
            </w:tcBorders>
            <w:shd w:val="clear" w:color="auto" w:fill="FBEFD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6DCBED">
            <w:pPr>
              <w:pStyle w:val="17"/>
              <w:numPr>
                <w:ilvl w:val="0"/>
                <w:numId w:val="1"/>
              </w:numPr>
              <w:spacing w:after="40"/>
            </w:pPr>
            <w:r>
              <w:rPr>
                <w:rFonts w:ascii="Arial" w:hAnsi="Arial" w:eastAsia="Arial" w:cs="Arial"/>
                <w:sz w:val="16"/>
                <w:szCs w:val="16"/>
              </w:rPr>
              <w:t>Closed VQA accuracy 82.90%</w:t>
            </w:r>
          </w:p>
          <w:p w14:paraId="4159A106">
            <w:pPr>
              <w:pStyle w:val="17"/>
              <w:numPr>
                <w:ilvl w:val="0"/>
                <w:numId w:val="1"/>
              </w:numPr>
              <w:spacing w:after="40"/>
            </w:pPr>
            <w:r>
              <w:rPr>
                <w:rFonts w:ascii="Arial" w:hAnsi="Arial" w:eastAsia="Arial" w:cs="Arial"/>
                <w:sz w:val="16"/>
                <w:szCs w:val="16"/>
              </w:rPr>
              <w:t>Report gen METEOR 50.13</w:t>
            </w:r>
          </w:p>
          <w:p w14:paraId="0F5C3AEE">
            <w:pPr>
              <w:pStyle w:val="17"/>
              <w:numPr>
                <w:ilvl w:val="0"/>
                <w:numId w:val="1"/>
              </w:numPr>
              <w:spacing w:after="40"/>
            </w:pPr>
            <w:r>
              <w:rPr>
                <w:rFonts w:ascii="Arial" w:hAnsi="Arial" w:eastAsia="Arial" w:cs="Arial"/>
                <w:sz w:val="16"/>
                <w:szCs w:val="16"/>
              </w:rPr>
              <w:t>Open VQA: BLEU 58.20 , ROUGE 61.80 , METEOR 44.46 , BERTScore 94.73</w:t>
            </w:r>
          </w:p>
          <w:p w14:paraId="74ADA2C9">
            <w:pPr>
              <w:pStyle w:val="17"/>
              <w:numPr>
                <w:ilvl w:val="0"/>
                <w:numId w:val="1"/>
              </w:numPr>
              <w:spacing w:after="40"/>
            </w:pPr>
            <w:r>
              <w:rPr>
                <w:rFonts w:ascii="Arial" w:hAnsi="Arial" w:eastAsia="Arial" w:cs="Arial"/>
                <w:sz w:val="16"/>
                <w:szCs w:val="16"/>
              </w:rPr>
              <w:t>Abnormality 74.41% , Location 70.32% (closed VQA)</w:t>
            </w:r>
          </w:p>
        </w:tc>
        <w:tc>
          <w:tcPr>
            <w:tcW w:w="2898" w:type="dxa"/>
            <w:tcBorders>
              <w:top w:val="single" w:color="D9E1DF" w:sz="4" w:space="0"/>
              <w:left w:val="single" w:color="D9E1DF" w:sz="4" w:space="0"/>
              <w:bottom w:val="single" w:color="D9E1DF" w:sz="4" w:space="0"/>
              <w:right w:val="single" w:color="D9E1DF" w:sz="4" w:space="0"/>
            </w:tcBorders>
            <w:shd w:val="clear" w:color="auto" w:fill="FBEFD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F376BF">
            <w:pPr>
              <w:spacing w:after="60"/>
            </w:pPr>
            <w:r>
              <w:rPr>
                <w:rFonts w:ascii="Arial" w:hAnsi="Arial" w:eastAsia="Arial" w:cs="Arial"/>
                <w:sz w:val="16"/>
                <w:szCs w:val="16"/>
              </w:rPr>
              <w:t>Beats the previous best, Med3DVLM, by +3.15 pp closed-VQA accuracy and +37.6% METEOR on reports, and also beats RadFM and M3D-LaMed. The gain comes without any 3D pre-training: RadFM and M3D-LaMed needed 120K to 16M samples to train 3D encoders, while this model reuses a frozen 2D encoder and has the lowest training time and inference laten</w:t>
            </w:r>
            <w:bookmarkStart w:id="0" w:name="_GoBack"/>
            <w:bookmarkEnd w:id="0"/>
            <w:r>
              <w:rPr>
                <w:rFonts w:ascii="Arial" w:hAnsi="Arial" w:eastAsia="Arial" w:cs="Arial"/>
                <w:sz w:val="16"/>
                <w:szCs w:val="16"/>
              </w:rPr>
              <w:t>cy of the compared models.</w:t>
            </w:r>
          </w:p>
        </w:tc>
      </w:tr>
      <w:tr w14:paraId="654FB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D9E1DF" w:sz="4" w:space="0"/>
              <w:left w:val="single" w:color="D9E1DF" w:sz="4" w:space="0"/>
              <w:bottom w:val="single" w:color="D9E1DF" w:sz="4" w:space="0"/>
              <w:right w:val="single" w:color="D9E1DF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6D4B68">
            <w:pPr>
              <w:spacing w:after="60"/>
            </w:pPr>
            <w:r>
              <w:rPr>
                <w:rFonts w:ascii="Arial" w:hAnsi="Arial" w:eastAsia="Arial" w:cs="Arial"/>
                <w:color w:val="56655F"/>
                <w:sz w:val="16"/>
                <w:szCs w:val="16"/>
              </w:rPr>
              <w:t>2</w:t>
            </w:r>
          </w:p>
        </w:tc>
        <w:tc>
          <w:tcPr>
            <w:tcW w:w="2300" w:type="dxa"/>
            <w:tcBorders>
              <w:top w:val="single" w:color="D9E1DF" w:sz="4" w:space="0"/>
              <w:left w:val="single" w:color="D9E1DF" w:sz="4" w:space="0"/>
              <w:bottom w:val="single" w:color="D9E1DF" w:sz="4" w:space="0"/>
              <w:right w:val="single" w:color="D9E1DF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9A4352">
            <w:pPr>
              <w:spacing w:after="60"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>Med3DVLM: An Efficient Vision-Language Model for 3D Medical Image Analysis</w:t>
            </w:r>
          </w:p>
          <w:p w14:paraId="5770DEAF">
            <w:pPr>
              <w:spacing w:after="60"/>
            </w:pPr>
            <w:r>
              <w:rPr>
                <w:rFonts w:ascii="Arial" w:hAnsi="Arial" w:eastAsia="Arial" w:cs="Arial"/>
                <w:i/>
                <w:iCs/>
                <w:color w:val="56655F"/>
                <w:sz w:val="16"/>
                <w:szCs w:val="16"/>
              </w:rPr>
              <w:t>Xin et al., IEEE JBHI 30(3) (2026)</w:t>
            </w:r>
          </w:p>
          <w:p w14:paraId="0075A0B0">
            <w:pPr>
              <w:spacing w:after="60"/>
            </w:pPr>
            <w:r>
              <w:rPr>
                <w:rFonts w:ascii="Arial" w:hAnsi="Arial" w:eastAsia="Arial" w:cs="Arial"/>
                <w:b/>
                <w:bCs/>
                <w:color w:val="0F6B63"/>
                <w:sz w:val="15"/>
                <w:szCs w:val="15"/>
              </w:rPr>
              <w:t>Experimental</w:t>
            </w:r>
          </w:p>
        </w:tc>
        <w:tc>
          <w:tcPr>
            <w:tcW w:w="2600" w:type="dxa"/>
            <w:tcBorders>
              <w:top w:val="single" w:color="D9E1DF" w:sz="4" w:space="0"/>
              <w:left w:val="single" w:color="D9E1DF" w:sz="4" w:space="0"/>
              <w:bottom w:val="single" w:color="D9E1DF" w:sz="4" w:space="0"/>
              <w:right w:val="single" w:color="D9E1DF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144AFF">
            <w:pPr>
              <w:spacing w:after="60"/>
            </w:pPr>
            <w:r>
              <w:rPr>
                <w:rFonts w:ascii="Arial" w:hAnsi="Arial" w:eastAsia="Arial" w:cs="Arial"/>
                <w:sz w:val="16"/>
                <w:szCs w:val="16"/>
              </w:rPr>
              <w:t>M3D dataset: 120,084 3D images with radiology reports and VQA pairs (M3D-Cap, M3D-VQA); 2,000-sample retrieval test</w:t>
            </w:r>
          </w:p>
          <w:p w14:paraId="5B4ED210">
            <w:pPr>
              <w:pStyle w:val="17"/>
              <w:numPr>
                <w:ilvl w:val="0"/>
                <w:numId w:val="1"/>
              </w:numPr>
              <w:spacing w:after="40"/>
            </w:pPr>
            <w:r>
              <w:fldChar w:fldCharType="begin"/>
            </w:r>
            <w:r>
              <w:instrText xml:space="preserve"> HYPERLINK "https://huggingface.co/datasets/GoodBaiBai88/M3D-Cap" </w:instrText>
            </w:r>
            <w:r>
              <w:fldChar w:fldCharType="separate"/>
            </w:r>
            <w:r>
              <w:rPr>
                <w:rStyle w:val="15"/>
                <w:rFonts w:ascii="Arial" w:hAnsi="Arial" w:eastAsia="Arial" w:cs="Arial"/>
                <w:sz w:val="16"/>
                <w:szCs w:val="16"/>
              </w:rPr>
              <w:t>M3D-Cap (Hugging Face)</w:t>
            </w:r>
            <w:r>
              <w:rPr>
                <w:rStyle w:val="15"/>
                <w:rFonts w:ascii="Arial" w:hAnsi="Arial" w:eastAsia="Arial" w:cs="Arial"/>
                <w:sz w:val="16"/>
                <w:szCs w:val="16"/>
              </w:rPr>
              <w:fldChar w:fldCharType="end"/>
            </w:r>
          </w:p>
          <w:p w14:paraId="48F6703A">
            <w:pPr>
              <w:pStyle w:val="17"/>
              <w:numPr>
                <w:ilvl w:val="0"/>
                <w:numId w:val="1"/>
              </w:numPr>
              <w:spacing w:after="40"/>
            </w:pPr>
            <w:r>
              <w:fldChar w:fldCharType="begin"/>
            </w:r>
            <w:r>
              <w:instrText xml:space="preserve"> HYPERLINK "https://huggingface.co/datasets/GoodBaiBai88/M3D-VQA" </w:instrText>
            </w:r>
            <w:r>
              <w:fldChar w:fldCharType="separate"/>
            </w:r>
            <w:r>
              <w:rPr>
                <w:rStyle w:val="15"/>
                <w:rFonts w:ascii="Arial" w:hAnsi="Arial" w:eastAsia="Arial" w:cs="Arial"/>
                <w:sz w:val="16"/>
                <w:szCs w:val="16"/>
              </w:rPr>
              <w:t>M3D-VQA (Hugging Face)</w:t>
            </w:r>
            <w:r>
              <w:rPr>
                <w:rStyle w:val="15"/>
                <w:rFonts w:ascii="Arial" w:hAnsi="Arial" w:eastAsia="Arial" w:cs="Arial"/>
                <w:sz w:val="16"/>
                <w:szCs w:val="16"/>
              </w:rPr>
              <w:fldChar w:fldCharType="end"/>
            </w:r>
          </w:p>
          <w:p w14:paraId="21C1C2A7">
            <w:pPr>
              <w:pStyle w:val="17"/>
              <w:numPr>
                <w:ilvl w:val="0"/>
                <w:numId w:val="1"/>
              </w:numPr>
              <w:spacing w:after="40"/>
            </w:pPr>
            <w:r>
              <w:fldChar w:fldCharType="begin"/>
            </w:r>
            <w:r>
              <w:instrText xml:space="preserve"> HYPERLINK "https://github.com/mirthAI/Med3DVLM" </w:instrText>
            </w:r>
            <w:r>
              <w:fldChar w:fldCharType="separate"/>
            </w:r>
            <w:r>
              <w:rPr>
                <w:rStyle w:val="15"/>
                <w:rFonts w:ascii="Arial" w:hAnsi="Arial" w:eastAsia="Arial" w:cs="Arial"/>
                <w:sz w:val="16"/>
                <w:szCs w:val="16"/>
              </w:rPr>
              <w:t>Med3DVLM code</w:t>
            </w:r>
            <w:r>
              <w:rPr>
                <w:rStyle w:val="15"/>
                <w:rFonts w:ascii="Arial" w:hAnsi="Arial" w:eastAsia="Arial" w:cs="Arial"/>
                <w:sz w:val="16"/>
                <w:szCs w:val="16"/>
              </w:rPr>
              <w:fldChar w:fldCharType="end"/>
            </w:r>
          </w:p>
        </w:tc>
        <w:tc>
          <w:tcPr>
            <w:tcW w:w="4600" w:type="dxa"/>
            <w:tcBorders>
              <w:top w:val="single" w:color="D9E1DF" w:sz="4" w:space="0"/>
              <w:left w:val="single" w:color="D9E1DF" w:sz="4" w:space="0"/>
              <w:bottom w:val="single" w:color="D9E1DF" w:sz="4" w:space="0"/>
              <w:right w:val="single" w:color="D9E1DF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8DC9F2">
            <w:pPr>
              <w:pStyle w:val="17"/>
              <w:numPr>
                <w:ilvl w:val="0"/>
                <w:numId w:val="3"/>
              </w:numPr>
              <w:spacing w:after="50"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Encode the 3D scan efficiently: </w:t>
            </w:r>
            <w:r>
              <w:rPr>
                <w:rFonts w:ascii="Arial" w:hAnsi="Arial" w:eastAsia="Arial" w:cs="Arial"/>
                <w:sz w:val="16"/>
                <w:szCs w:val="16"/>
              </w:rPr>
              <w:t>DCFormer splits a heavy 3D convolution into three cheap 1D convolutions (one per axis), so high-resolution volumes fit in memory.</w:t>
            </w:r>
          </w:p>
          <w:p w14:paraId="2F59A0AA">
            <w:pPr>
              <w:pStyle w:val="17"/>
              <w:numPr>
                <w:ilvl w:val="0"/>
                <w:numId w:val="3"/>
              </w:numPr>
              <w:spacing w:after="50"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Align image and report (contrastive pre-training): </w:t>
            </w:r>
            <w:r>
              <w:rPr>
                <w:rFonts w:ascii="Arial" w:hAnsi="Arial" w:eastAsia="Arial" w:cs="Arial"/>
                <w:sz w:val="16"/>
                <w:szCs w:val="16"/>
              </w:rPr>
              <w:t>SigLIP loss scores each image-text pair separately with a sigmoid, so it works without huge batches of negatives.</w:t>
            </w:r>
          </w:p>
          <w:p w14:paraId="570A8A59">
            <w:pPr>
              <w:pStyle w:val="17"/>
              <w:numPr>
                <w:ilvl w:val="0"/>
                <w:numId w:val="3"/>
              </w:numPr>
              <w:spacing w:after="50"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Project features for the LLM: </w:t>
            </w:r>
            <w:r>
              <w:rPr>
                <w:rFonts w:ascii="Arial" w:hAnsi="Arial" w:eastAsia="Arial" w:cs="Arial"/>
                <w:sz w:val="16"/>
                <w:szCs w:val="16"/>
              </w:rPr>
              <w:t>A dual-stream MLP-Mixer projector mixes low-level (fine) and high-level (semantic) image features into tokens.</w:t>
            </w:r>
          </w:p>
          <w:p w14:paraId="1796EAFA">
            <w:pPr>
              <w:pStyle w:val="17"/>
              <w:numPr>
                <w:ilvl w:val="0"/>
                <w:numId w:val="3"/>
              </w:numPr>
              <w:spacing w:after="50"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Generate text: </w:t>
            </w:r>
            <w:r>
              <w:rPr>
                <w:rFonts w:ascii="Arial" w:hAnsi="Arial" w:eastAsia="Arial" w:cs="Arial"/>
                <w:sz w:val="16"/>
                <w:szCs w:val="16"/>
              </w:rPr>
              <w:t>Qwen2.5-7B-Instruct reads those tokens with the prompt and writes the report or VQA answer.</w:t>
            </w:r>
          </w:p>
          <w:p w14:paraId="60981F8C">
            <w:pPr>
              <w:pStyle w:val="17"/>
              <w:numPr>
                <w:ilvl w:val="0"/>
                <w:numId w:val="3"/>
              </w:numPr>
              <w:spacing w:after="50"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Fine-tune on tasks: </w:t>
            </w:r>
            <w:r>
              <w:rPr>
                <w:rFonts w:ascii="Arial" w:hAnsi="Arial" w:eastAsia="Arial" w:cs="Arial"/>
                <w:sz w:val="16"/>
                <w:szCs w:val="16"/>
              </w:rPr>
              <w:t>The model is instruction-tuned on M3D report generation and VQA.</w:t>
            </w:r>
          </w:p>
          <w:p w14:paraId="1829B792">
            <w:pPr>
              <w:spacing w:before="60"/>
            </w:pPr>
            <w:r>
              <w:rPr>
                <w:rFonts w:ascii="Arial" w:hAnsi="Arial" w:eastAsia="Arial" w:cs="Arial"/>
                <w:b/>
                <w:bCs/>
                <w:color w:val="0F6B63"/>
                <w:sz w:val="15"/>
                <w:szCs w:val="15"/>
              </w:rPr>
              <w:t>Flow: CT → DCFormer → SigLIP alignment → MLP-Mixer → Qwen2.5-7B</w:t>
            </w:r>
          </w:p>
        </w:tc>
        <w:tc>
          <w:tcPr>
            <w:tcW w:w="2600" w:type="dxa"/>
            <w:tcBorders>
              <w:top w:val="single" w:color="D9E1DF" w:sz="4" w:space="0"/>
              <w:left w:val="single" w:color="D9E1DF" w:sz="4" w:space="0"/>
              <w:bottom w:val="single" w:color="D9E1DF" w:sz="4" w:space="0"/>
              <w:right w:val="single" w:color="D9E1DF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32C787">
            <w:pPr>
              <w:pStyle w:val="17"/>
              <w:numPr>
                <w:ilvl w:val="0"/>
                <w:numId w:val="1"/>
              </w:numPr>
              <w:spacing w:after="40"/>
            </w:pPr>
            <w:r>
              <w:rPr>
                <w:rFonts w:ascii="Arial" w:hAnsi="Arial" w:eastAsia="Arial" w:cs="Arial"/>
                <w:sz w:val="16"/>
                <w:szCs w:val="16"/>
              </w:rPr>
              <w:t>Image-text retrieval R@1 61.00%</w:t>
            </w:r>
          </w:p>
          <w:p w14:paraId="4D9D9FF1">
            <w:pPr>
              <w:pStyle w:val="17"/>
              <w:numPr>
                <w:ilvl w:val="0"/>
                <w:numId w:val="1"/>
              </w:numPr>
              <w:spacing w:after="40"/>
            </w:pPr>
            <w:r>
              <w:rPr>
                <w:rFonts w:ascii="Arial" w:hAnsi="Arial" w:eastAsia="Arial" w:cs="Arial"/>
                <w:sz w:val="16"/>
                <w:szCs w:val="16"/>
              </w:rPr>
              <w:t>Report gen METEOR 36.42</w:t>
            </w:r>
          </w:p>
          <w:p w14:paraId="2B0AD99C">
            <w:pPr>
              <w:pStyle w:val="17"/>
              <w:numPr>
                <w:ilvl w:val="0"/>
                <w:numId w:val="1"/>
              </w:numPr>
              <w:spacing w:after="40"/>
            </w:pPr>
            <w:r>
              <w:rPr>
                <w:rFonts w:ascii="Arial" w:hAnsi="Arial" w:eastAsia="Arial" w:cs="Arial"/>
                <w:sz w:val="16"/>
                <w:szCs w:val="16"/>
              </w:rPr>
              <w:t>Open VQA METEOR 36.76</w:t>
            </w:r>
          </w:p>
          <w:p w14:paraId="203C15D6">
            <w:pPr>
              <w:pStyle w:val="17"/>
              <w:numPr>
                <w:ilvl w:val="0"/>
                <w:numId w:val="1"/>
              </w:numPr>
              <w:spacing w:after="40"/>
            </w:pPr>
            <w:r>
              <w:rPr>
                <w:rFonts w:ascii="Arial" w:hAnsi="Arial" w:eastAsia="Arial" w:cs="Arial"/>
                <w:sz w:val="16"/>
                <w:szCs w:val="16"/>
              </w:rPr>
              <w:t>Closed VQA accuracy 79.95%</w:t>
            </w:r>
          </w:p>
        </w:tc>
        <w:tc>
          <w:tcPr>
            <w:tcW w:w="2898" w:type="dxa"/>
            <w:tcBorders>
              <w:top w:val="single" w:color="D9E1DF" w:sz="4" w:space="0"/>
              <w:left w:val="single" w:color="D9E1DF" w:sz="4" w:space="0"/>
              <w:bottom w:val="single" w:color="D9E1DF" w:sz="4" w:space="0"/>
              <w:right w:val="single" w:color="D9E1DF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B4AD3D">
            <w:pPr>
              <w:spacing w:after="60"/>
            </w:pPr>
            <w:r>
              <w:rPr>
                <w:rFonts w:ascii="Arial" w:hAnsi="Arial" w:eastAsia="Arial" w:cs="Arial"/>
                <w:sz w:val="16"/>
                <w:szCs w:val="16"/>
              </w:rPr>
              <w:t>Claimed SOTA over M3D-LaMed , the model released with the M3D benchmark: R@1 61.00 vs 19.10, METEOR 36.42 vs 14.38, closed VQA 79.95 vs 75.78. The efficient 3D encoder and sigmoid contrastive alignment explain the jump in retrieval. Later surpassed by paper #1.</w:t>
            </w:r>
          </w:p>
        </w:tc>
      </w:tr>
      <w:tr w14:paraId="30CA1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D9E1DF" w:sz="4" w:space="0"/>
              <w:left w:val="single" w:color="D9E1DF" w:sz="4" w:space="0"/>
              <w:bottom w:val="single" w:color="D9E1DF" w:sz="4" w:space="0"/>
              <w:right w:val="single" w:color="D9E1DF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A30267">
            <w:pPr>
              <w:spacing w:after="60"/>
            </w:pPr>
            <w:r>
              <w:rPr>
                <w:rFonts w:ascii="Arial" w:hAnsi="Arial" w:eastAsia="Arial" w:cs="Arial"/>
                <w:color w:val="56655F"/>
                <w:sz w:val="16"/>
                <w:szCs w:val="16"/>
              </w:rPr>
              <w:t>3</w:t>
            </w:r>
          </w:p>
        </w:tc>
        <w:tc>
          <w:tcPr>
            <w:tcW w:w="2300" w:type="dxa"/>
            <w:tcBorders>
              <w:top w:val="single" w:color="D9E1DF" w:sz="4" w:space="0"/>
              <w:left w:val="single" w:color="D9E1DF" w:sz="4" w:space="0"/>
              <w:bottom w:val="single" w:color="D9E1DF" w:sz="4" w:space="0"/>
              <w:right w:val="single" w:color="D9E1DF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01F66CC">
            <w:pPr>
              <w:spacing w:after="60"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>Large Language Model With Region-Guided Referring and Grounding for CT Report Generation (Reg2RG)</w:t>
            </w:r>
          </w:p>
          <w:p w14:paraId="1D27EA56">
            <w:pPr>
              <w:spacing w:after="60"/>
            </w:pPr>
            <w:r>
              <w:rPr>
                <w:rFonts w:ascii="Arial" w:hAnsi="Arial" w:eastAsia="Arial" w:cs="Arial"/>
                <w:i/>
                <w:iCs/>
                <w:color w:val="56655F"/>
                <w:sz w:val="16"/>
                <w:szCs w:val="16"/>
              </w:rPr>
              <w:t>Chen et al., IEEE TMI 44(8) (2025)</w:t>
            </w:r>
          </w:p>
          <w:p w14:paraId="5C4139BF">
            <w:pPr>
              <w:spacing w:after="60"/>
            </w:pPr>
            <w:r>
              <w:rPr>
                <w:rFonts w:ascii="Arial" w:hAnsi="Arial" w:eastAsia="Arial" w:cs="Arial"/>
                <w:b/>
                <w:bCs/>
                <w:color w:val="0F6B63"/>
                <w:sz w:val="15"/>
                <w:szCs w:val="15"/>
              </w:rPr>
              <w:t>Experimental</w:t>
            </w:r>
          </w:p>
        </w:tc>
        <w:tc>
          <w:tcPr>
            <w:tcW w:w="2600" w:type="dxa"/>
            <w:tcBorders>
              <w:top w:val="single" w:color="D9E1DF" w:sz="4" w:space="0"/>
              <w:left w:val="single" w:color="D9E1DF" w:sz="4" w:space="0"/>
              <w:bottom w:val="single" w:color="D9E1DF" w:sz="4" w:space="0"/>
              <w:right w:val="single" w:color="D9E1DF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BAFB20">
            <w:pPr>
              <w:spacing w:after="60"/>
            </w:pPr>
            <w:r>
              <w:rPr>
                <w:rFonts w:ascii="Arial" w:hAnsi="Arial" w:eastAsia="Arial" w:cs="Arial"/>
                <w:sz w:val="16"/>
                <w:szCs w:val="16"/>
              </w:rPr>
              <w:t>RadGenome-ChestCT (region-grounded, built from CT-RATE) and CTRG-Chest-548K (1,804 chest CTs used); volumes 256×256×64</w:t>
            </w:r>
          </w:p>
          <w:p w14:paraId="4A49DC12">
            <w:pPr>
              <w:pStyle w:val="17"/>
              <w:numPr>
                <w:ilvl w:val="0"/>
                <w:numId w:val="1"/>
              </w:numPr>
              <w:spacing w:after="40"/>
            </w:pPr>
            <w:r>
              <w:fldChar w:fldCharType="begin"/>
            </w:r>
            <w:r>
              <w:instrText xml:space="preserve"> HYPERLINK "https://huggingface.co/datasets/RadGenome/RadGenome-ChestCT" </w:instrText>
            </w:r>
            <w:r>
              <w:fldChar w:fldCharType="separate"/>
            </w:r>
            <w:r>
              <w:rPr>
                <w:rStyle w:val="15"/>
                <w:rFonts w:ascii="Arial" w:hAnsi="Arial" w:eastAsia="Arial" w:cs="Arial"/>
                <w:sz w:val="16"/>
                <w:szCs w:val="16"/>
              </w:rPr>
              <w:t>RadGenome-ChestCT (Hugging Face)</w:t>
            </w:r>
            <w:r>
              <w:rPr>
                <w:rStyle w:val="15"/>
                <w:rFonts w:ascii="Arial" w:hAnsi="Arial" w:eastAsia="Arial" w:cs="Arial"/>
                <w:sz w:val="16"/>
                <w:szCs w:val="16"/>
              </w:rPr>
              <w:fldChar w:fldCharType="end"/>
            </w:r>
          </w:p>
          <w:p w14:paraId="6C6C7E2F">
            <w:pPr>
              <w:pStyle w:val="17"/>
              <w:numPr>
                <w:ilvl w:val="0"/>
                <w:numId w:val="1"/>
              </w:numPr>
              <w:spacing w:after="40"/>
            </w:pPr>
            <w:r>
              <w:fldChar w:fldCharType="begin"/>
            </w:r>
            <w:r>
              <w:instrText xml:space="preserve"> HYPERLINK "https://huggingface.co/datasets/ibrahimhamamci/CT-RATE" </w:instrText>
            </w:r>
            <w:r>
              <w:fldChar w:fldCharType="separate"/>
            </w:r>
            <w:r>
              <w:rPr>
                <w:rStyle w:val="15"/>
                <w:rFonts w:ascii="Arial" w:hAnsi="Arial" w:eastAsia="Arial" w:cs="Arial"/>
                <w:sz w:val="16"/>
                <w:szCs w:val="16"/>
              </w:rPr>
              <w:t>CT-RATE (Hugging Face)</w:t>
            </w:r>
            <w:r>
              <w:rPr>
                <w:rStyle w:val="15"/>
                <w:rFonts w:ascii="Arial" w:hAnsi="Arial" w:eastAsia="Arial" w:cs="Arial"/>
                <w:sz w:val="16"/>
                <w:szCs w:val="16"/>
              </w:rPr>
              <w:fldChar w:fldCharType="end"/>
            </w:r>
          </w:p>
          <w:p w14:paraId="3C112C56">
            <w:pPr>
              <w:pStyle w:val="17"/>
              <w:numPr>
                <w:ilvl w:val="0"/>
                <w:numId w:val="1"/>
              </w:numPr>
              <w:spacing w:after="40"/>
            </w:pPr>
            <w:r>
              <w:fldChar w:fldCharType="begin"/>
            </w:r>
            <w:r>
              <w:instrText xml:space="preserve"> HYPERLINK "https://github.com/tangyuhao2016/CTRG" </w:instrText>
            </w:r>
            <w:r>
              <w:fldChar w:fldCharType="separate"/>
            </w:r>
            <w:r>
              <w:rPr>
                <w:rStyle w:val="15"/>
                <w:rFonts w:ascii="Arial" w:hAnsi="Arial" w:eastAsia="Arial" w:cs="Arial"/>
                <w:sz w:val="16"/>
                <w:szCs w:val="16"/>
              </w:rPr>
              <w:t>CTRG-Chest-548K (GitHub)</w:t>
            </w:r>
            <w:r>
              <w:rPr>
                <w:rStyle w:val="15"/>
                <w:rFonts w:ascii="Arial" w:hAnsi="Arial" w:eastAsia="Arial" w:cs="Arial"/>
                <w:sz w:val="16"/>
                <w:szCs w:val="16"/>
              </w:rPr>
              <w:fldChar w:fldCharType="end"/>
            </w:r>
          </w:p>
          <w:p w14:paraId="12D04ED1">
            <w:pPr>
              <w:pStyle w:val="17"/>
              <w:numPr>
                <w:ilvl w:val="0"/>
                <w:numId w:val="1"/>
              </w:numPr>
              <w:spacing w:after="40"/>
            </w:pPr>
            <w:r>
              <w:fldChar w:fldCharType="begin"/>
            </w:r>
            <w:r>
              <w:instrText xml:space="preserve"> HYPERLINK "https://github.com/zhixuan-chen/Reg2RG" </w:instrText>
            </w:r>
            <w:r>
              <w:fldChar w:fldCharType="separate"/>
            </w:r>
            <w:r>
              <w:rPr>
                <w:rStyle w:val="15"/>
                <w:rFonts w:ascii="Arial" w:hAnsi="Arial" w:eastAsia="Arial" w:cs="Arial"/>
                <w:sz w:val="16"/>
                <w:szCs w:val="16"/>
              </w:rPr>
              <w:t>Reg2RG code</w:t>
            </w:r>
            <w:r>
              <w:rPr>
                <w:rStyle w:val="15"/>
                <w:rFonts w:ascii="Arial" w:hAnsi="Arial" w:eastAsia="Arial" w:cs="Arial"/>
                <w:sz w:val="16"/>
                <w:szCs w:val="16"/>
              </w:rPr>
              <w:fldChar w:fldCharType="end"/>
            </w:r>
          </w:p>
        </w:tc>
        <w:tc>
          <w:tcPr>
            <w:tcW w:w="4600" w:type="dxa"/>
            <w:tcBorders>
              <w:top w:val="single" w:color="D9E1DF" w:sz="4" w:space="0"/>
              <w:left w:val="single" w:color="D9E1DF" w:sz="4" w:space="0"/>
              <w:bottom w:val="single" w:color="D9E1DF" w:sz="4" w:space="0"/>
              <w:right w:val="single" w:color="D9E1DF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09FA3C2">
            <w:pPr>
              <w:pStyle w:val="17"/>
              <w:numPr>
                <w:ilvl w:val="0"/>
                <w:numId w:val="4"/>
              </w:numPr>
              <w:spacing w:after="50"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Find anatomical regions: </w:t>
            </w:r>
            <w:r>
              <w:rPr>
                <w:rFonts w:ascii="Arial" w:hAnsi="Arial" w:eastAsia="Arial" w:cs="Arial"/>
                <w:sz w:val="16"/>
                <w:szCs w:val="16"/>
              </w:rPr>
              <w:t>A universal segmentation model (SAT) produces masks for regions such as lung, heart, pleura and bronchi.</w:t>
            </w:r>
          </w:p>
          <w:p w14:paraId="6123FA4B">
            <w:pPr>
              <w:pStyle w:val="17"/>
              <w:numPr>
                <w:ilvl w:val="0"/>
                <w:numId w:val="4"/>
              </w:numPr>
              <w:spacing w:after="50"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Extract local features per region: </w:t>
            </w:r>
            <w:r>
              <w:rPr>
                <w:rFonts w:ascii="Arial" w:hAnsi="Arial" w:eastAsia="Arial" w:cs="Arial"/>
                <w:sz w:val="16"/>
                <w:szCs w:val="16"/>
              </w:rPr>
              <w:t>Local feature decoupling (LFD): a 3D encoder captures each region's texture at high resolution, and a small 3-layer ViT3D encodes its mask shape (geometry).</w:t>
            </w:r>
          </w:p>
          <w:p w14:paraId="180D2A03">
            <w:pPr>
              <w:pStyle w:val="17"/>
              <w:numPr>
                <w:ilvl w:val="0"/>
                <w:numId w:val="4"/>
              </w:numPr>
              <w:spacing w:after="50"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Add global context: </w:t>
            </w:r>
            <w:r>
              <w:rPr>
                <w:rFonts w:ascii="Arial" w:hAnsi="Arial" w:eastAsia="Arial" w:cs="Arial"/>
                <w:sz w:val="16"/>
                <w:szCs w:val="16"/>
              </w:rPr>
              <w:t>Whole-volume features are combined with the regional ones so the model sees relationships between regions.</w:t>
            </w:r>
          </w:p>
          <w:p w14:paraId="69DDF4E1">
            <w:pPr>
              <w:pStyle w:val="17"/>
              <w:numPr>
                <w:ilvl w:val="0"/>
                <w:numId w:val="4"/>
              </w:numPr>
              <w:spacing w:after="50"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Region-report alignment (RRA): </w:t>
            </w:r>
            <w:r>
              <w:rPr>
                <w:rFonts w:ascii="Arial" w:hAnsi="Arial" w:eastAsia="Arial" w:cs="Arial"/>
                <w:sz w:val="16"/>
                <w:szCs w:val="16"/>
              </w:rPr>
              <w:t>The model first names which region it is looking at, then writes that region's report, which ties every sentence to a region.</w:t>
            </w:r>
          </w:p>
          <w:p w14:paraId="0F5F7241">
            <w:pPr>
              <w:pStyle w:val="17"/>
              <w:numPr>
                <w:ilvl w:val="0"/>
                <w:numId w:val="4"/>
              </w:numPr>
              <w:spacing w:after="50"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Generate with an LLM: </w:t>
            </w:r>
            <w:r>
              <w:rPr>
                <w:rFonts w:ascii="Arial" w:hAnsi="Arial" w:eastAsia="Arial" w:cs="Arial"/>
                <w:sz w:val="16"/>
                <w:szCs w:val="16"/>
              </w:rPr>
              <w:t>LLaMA-2-7B, fine-tuned with LoRA (rank 8), writes the region reports, which are joined into the full report.</w:t>
            </w:r>
          </w:p>
          <w:p w14:paraId="21D63B66">
            <w:pPr>
              <w:spacing w:before="60"/>
            </w:pPr>
            <w:r>
              <w:rPr>
                <w:rFonts w:ascii="Arial" w:hAnsi="Arial" w:eastAsia="Arial" w:cs="Arial"/>
                <w:b/>
                <w:bCs/>
                <w:color w:val="0F6B63"/>
                <w:sz w:val="15"/>
                <w:szCs w:val="15"/>
              </w:rPr>
              <w:t>Flow: CT → SAT masks → local + global features → RRA → LLaMA-2 + LoRA</w:t>
            </w:r>
          </w:p>
        </w:tc>
        <w:tc>
          <w:tcPr>
            <w:tcW w:w="2600" w:type="dxa"/>
            <w:tcBorders>
              <w:top w:val="single" w:color="D9E1DF" w:sz="4" w:space="0"/>
              <w:left w:val="single" w:color="D9E1DF" w:sz="4" w:space="0"/>
              <w:bottom w:val="single" w:color="D9E1DF" w:sz="4" w:space="0"/>
              <w:right w:val="single" w:color="D9E1DF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C727F9">
            <w:pPr>
              <w:pStyle w:val="17"/>
              <w:numPr>
                <w:ilvl w:val="0"/>
                <w:numId w:val="1"/>
              </w:numPr>
              <w:spacing w:after="40"/>
            </w:pPr>
            <w:r>
              <w:rPr>
                <w:rFonts w:ascii="Arial" w:hAnsi="Arial" w:eastAsia="Arial" w:cs="Arial"/>
                <w:sz w:val="16"/>
                <w:szCs w:val="16"/>
              </w:rPr>
              <w:t>RadGenome: BLEU-4 24.87 , METEOR 44.07 , ROUGE-L 36.65</w:t>
            </w:r>
          </w:p>
          <w:p w14:paraId="1A15C0D5">
            <w:pPr>
              <w:pStyle w:val="17"/>
              <w:numPr>
                <w:ilvl w:val="0"/>
                <w:numId w:val="1"/>
              </w:numPr>
              <w:spacing w:after="40"/>
            </w:pPr>
            <w:r>
              <w:rPr>
                <w:rFonts w:ascii="Arial" w:hAnsi="Arial" w:eastAsia="Arial" w:cs="Arial"/>
                <w:sz w:val="16"/>
                <w:szCs w:val="16"/>
              </w:rPr>
              <w:t>Clinical efficacy: P 0.423 , R 0.181 , F1 0.253</w:t>
            </w:r>
          </w:p>
          <w:p w14:paraId="7232ECBC">
            <w:pPr>
              <w:pStyle w:val="17"/>
              <w:numPr>
                <w:ilvl w:val="0"/>
                <w:numId w:val="1"/>
              </w:numPr>
              <w:spacing w:after="40"/>
            </w:pPr>
            <w:r>
              <w:rPr>
                <w:rFonts w:ascii="Arial" w:hAnsi="Arial" w:eastAsia="Arial" w:cs="Arial"/>
                <w:sz w:val="16"/>
                <w:szCs w:val="16"/>
              </w:rPr>
              <w:t>CTRG: BLEU-4 32.04 , METEOR 49.71</w:t>
            </w:r>
          </w:p>
        </w:tc>
        <w:tc>
          <w:tcPr>
            <w:tcW w:w="2898" w:type="dxa"/>
            <w:tcBorders>
              <w:top w:val="single" w:color="D9E1DF" w:sz="4" w:space="0"/>
              <w:left w:val="single" w:color="D9E1DF" w:sz="4" w:space="0"/>
              <w:bottom w:val="single" w:color="D9E1DF" w:sz="4" w:space="0"/>
              <w:right w:val="single" w:color="D9E1DF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CF69DE">
            <w:pPr>
              <w:spacing w:after="60"/>
            </w:pPr>
            <w:r>
              <w:rPr>
                <w:rFonts w:ascii="Arial" w:hAnsi="Arial" w:eastAsia="Arial" w:cs="Arial"/>
                <w:sz w:val="16"/>
                <w:szCs w:val="16"/>
              </w:rPr>
              <w:t>Best on all NLG metrics on RadGenome-ChestCT versus R2GenGPT, MedVInT, RadFM, CT2Rep and M3D. Clinical F1 rises from 0.212 (MedVInT) to 0.253, a 19.3% relative gain. First CT report model to use region referring and grounding, which also makes each sentence traceable to an anatomical region.</w:t>
            </w:r>
          </w:p>
        </w:tc>
      </w:tr>
      <w:tr w14:paraId="6B1BA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D9E1DF" w:sz="4" w:space="0"/>
              <w:left w:val="single" w:color="D9E1DF" w:sz="4" w:space="0"/>
              <w:bottom w:val="single" w:color="D9E1DF" w:sz="4" w:space="0"/>
              <w:right w:val="single" w:color="D9E1DF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283D7B">
            <w:pPr>
              <w:spacing w:after="60"/>
            </w:pPr>
            <w:r>
              <w:rPr>
                <w:rFonts w:ascii="Arial" w:hAnsi="Arial" w:eastAsia="Arial" w:cs="Arial"/>
                <w:color w:val="56655F"/>
                <w:sz w:val="16"/>
                <w:szCs w:val="16"/>
              </w:rPr>
              <w:t>4</w:t>
            </w:r>
          </w:p>
        </w:tc>
        <w:tc>
          <w:tcPr>
            <w:tcW w:w="2300" w:type="dxa"/>
            <w:tcBorders>
              <w:top w:val="single" w:color="D9E1DF" w:sz="4" w:space="0"/>
              <w:left w:val="single" w:color="D9E1DF" w:sz="4" w:space="0"/>
              <w:bottom w:val="single" w:color="D9E1DF" w:sz="4" w:space="0"/>
              <w:right w:val="single" w:color="D9E1DF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A84640">
            <w:pPr>
              <w:spacing w:after="60"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>Merlin: A Computed Tomography Vision-Language Foundation Model and Dataset</w:t>
            </w:r>
          </w:p>
          <w:p w14:paraId="6CA9A80F">
            <w:pPr>
              <w:spacing w:after="60"/>
            </w:pPr>
            <w:r>
              <w:rPr>
                <w:rFonts w:ascii="Arial" w:hAnsi="Arial" w:eastAsia="Arial" w:cs="Arial"/>
                <w:i/>
                <w:iCs/>
                <w:color w:val="56655F"/>
                <w:sz w:val="16"/>
                <w:szCs w:val="16"/>
              </w:rPr>
              <w:t>Blankemeier et al., Nature 652 (2026); arXiv 2406.06512</w:t>
            </w:r>
          </w:p>
          <w:p w14:paraId="279466F0">
            <w:pPr>
              <w:spacing w:after="60"/>
            </w:pPr>
            <w:r>
              <w:rPr>
                <w:rFonts w:ascii="Arial" w:hAnsi="Arial" w:eastAsia="Arial" w:cs="Arial"/>
                <w:b/>
                <w:bCs/>
                <w:color w:val="0F6B63"/>
                <w:sz w:val="15"/>
                <w:szCs w:val="15"/>
              </w:rPr>
              <w:t>Experimental</w:t>
            </w:r>
          </w:p>
        </w:tc>
        <w:tc>
          <w:tcPr>
            <w:tcW w:w="2600" w:type="dxa"/>
            <w:tcBorders>
              <w:top w:val="single" w:color="D9E1DF" w:sz="4" w:space="0"/>
              <w:left w:val="single" w:color="D9E1DF" w:sz="4" w:space="0"/>
              <w:bottom w:val="single" w:color="D9E1DF" w:sz="4" w:space="0"/>
              <w:right w:val="single" w:color="D9E1DF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872664">
            <w:pPr>
              <w:spacing w:after="60"/>
            </w:pPr>
            <w:r>
              <w:rPr>
                <w:rFonts w:ascii="Arial" w:hAnsi="Arial" w:eastAsia="Arial" w:cs="Arial"/>
                <w:sz w:val="16"/>
                <w:szCs w:val="16"/>
              </w:rPr>
              <w:t>15,331 abdominal CTs (6M+ images), 1.8M+ EHR diagnosis codes, radiology reports; internal test 5,137 CTs; external 44,098 CTs from 3 sites + VerSe, TotalSegmentator</w:t>
            </w:r>
          </w:p>
          <w:p w14:paraId="2DD097BF">
            <w:pPr>
              <w:pStyle w:val="17"/>
              <w:numPr>
                <w:ilvl w:val="0"/>
                <w:numId w:val="1"/>
              </w:numPr>
              <w:spacing w:after="40"/>
            </w:pPr>
            <w:r>
              <w:fldChar w:fldCharType="begin"/>
            </w:r>
            <w:r>
              <w:instrText xml:space="preserve"> HYPERLINK "https://stanfordaimi.azurewebsites.net/datasets/60b9c7ff-877b-48ce-96c3-0194c8205c40" </w:instrText>
            </w:r>
            <w:r>
              <w:fldChar w:fldCharType="separate"/>
            </w:r>
            <w:r>
              <w:rPr>
                <w:rStyle w:val="15"/>
                <w:rFonts w:ascii="Arial" w:hAnsi="Arial" w:eastAsia="Arial" w:cs="Arial"/>
                <w:sz w:val="16"/>
                <w:szCs w:val="16"/>
              </w:rPr>
              <w:t>Merlin Abdominal CT dataset (Stanford AIMI)</w:t>
            </w:r>
            <w:r>
              <w:rPr>
                <w:rStyle w:val="15"/>
                <w:rFonts w:ascii="Arial" w:hAnsi="Arial" w:eastAsia="Arial" w:cs="Arial"/>
                <w:sz w:val="16"/>
                <w:szCs w:val="16"/>
              </w:rPr>
              <w:fldChar w:fldCharType="end"/>
            </w:r>
          </w:p>
          <w:p w14:paraId="76D2E572">
            <w:pPr>
              <w:pStyle w:val="17"/>
              <w:numPr>
                <w:ilvl w:val="0"/>
                <w:numId w:val="1"/>
              </w:numPr>
              <w:spacing w:after="40"/>
            </w:pPr>
            <w:r>
              <w:fldChar w:fldCharType="begin"/>
            </w:r>
            <w:r>
              <w:instrText xml:space="preserve"> HYPERLINK "https://github.com/StanfordMIMI/Merlin" </w:instrText>
            </w:r>
            <w:r>
              <w:fldChar w:fldCharType="separate"/>
            </w:r>
            <w:r>
              <w:rPr>
                <w:rStyle w:val="15"/>
                <w:rFonts w:ascii="Arial" w:hAnsi="Arial" w:eastAsia="Arial" w:cs="Arial"/>
                <w:sz w:val="16"/>
                <w:szCs w:val="16"/>
              </w:rPr>
              <w:t>Merlin code + download guide</w:t>
            </w:r>
            <w:r>
              <w:rPr>
                <w:rStyle w:val="15"/>
                <w:rFonts w:ascii="Arial" w:hAnsi="Arial" w:eastAsia="Arial" w:cs="Arial"/>
                <w:sz w:val="16"/>
                <w:szCs w:val="16"/>
              </w:rPr>
              <w:fldChar w:fldCharType="end"/>
            </w:r>
          </w:p>
          <w:p w14:paraId="22B4C6A5">
            <w:pPr>
              <w:pStyle w:val="17"/>
              <w:numPr>
                <w:ilvl w:val="0"/>
                <w:numId w:val="1"/>
              </w:numPr>
              <w:spacing w:after="40"/>
            </w:pPr>
            <w:r>
              <w:fldChar w:fldCharType="begin"/>
            </w:r>
            <w:r>
              <w:instrText xml:space="preserve"> HYPERLINK "https://huggingface.co/stanfordmimi/Merlin" </w:instrText>
            </w:r>
            <w:r>
              <w:fldChar w:fldCharType="separate"/>
            </w:r>
            <w:r>
              <w:rPr>
                <w:rStyle w:val="15"/>
                <w:rFonts w:ascii="Arial" w:hAnsi="Arial" w:eastAsia="Arial" w:cs="Arial"/>
                <w:sz w:val="16"/>
                <w:szCs w:val="16"/>
              </w:rPr>
              <w:t>Merlin weights (Hugging Face)</w:t>
            </w:r>
            <w:r>
              <w:rPr>
                <w:rStyle w:val="15"/>
                <w:rFonts w:ascii="Arial" w:hAnsi="Arial" w:eastAsia="Arial" w:cs="Arial"/>
                <w:sz w:val="16"/>
                <w:szCs w:val="16"/>
              </w:rPr>
              <w:fldChar w:fldCharType="end"/>
            </w:r>
          </w:p>
          <w:p w14:paraId="1B4D73C4">
            <w:pPr>
              <w:pStyle w:val="17"/>
              <w:numPr>
                <w:ilvl w:val="0"/>
                <w:numId w:val="1"/>
              </w:numPr>
              <w:spacing w:after="40"/>
            </w:pPr>
            <w:r>
              <w:fldChar w:fldCharType="begin"/>
            </w:r>
            <w:r>
              <w:instrText xml:space="preserve"> HYPERLINK "https://github.com/anjany/verse" </w:instrText>
            </w:r>
            <w:r>
              <w:fldChar w:fldCharType="separate"/>
            </w:r>
            <w:r>
              <w:rPr>
                <w:rStyle w:val="15"/>
                <w:rFonts w:ascii="Arial" w:hAnsi="Arial" w:eastAsia="Arial" w:cs="Arial"/>
                <w:sz w:val="16"/>
                <w:szCs w:val="16"/>
              </w:rPr>
              <w:t>VerSe</w:t>
            </w:r>
            <w:r>
              <w:rPr>
                <w:rStyle w:val="15"/>
                <w:rFonts w:ascii="Arial" w:hAnsi="Arial" w:eastAsia="Arial" w:cs="Arial"/>
                <w:sz w:val="16"/>
                <w:szCs w:val="16"/>
              </w:rPr>
              <w:fldChar w:fldCharType="end"/>
            </w:r>
          </w:p>
          <w:p w14:paraId="14EB5D7C">
            <w:pPr>
              <w:pStyle w:val="17"/>
              <w:numPr>
                <w:ilvl w:val="0"/>
                <w:numId w:val="1"/>
              </w:numPr>
              <w:spacing w:after="40"/>
            </w:pPr>
            <w:r>
              <w:fldChar w:fldCharType="begin"/>
            </w:r>
            <w:r>
              <w:instrText xml:space="preserve"> HYPERLINK "https://github.com/wasserth/TotalSegmentator" </w:instrText>
            </w:r>
            <w:r>
              <w:fldChar w:fldCharType="separate"/>
            </w:r>
            <w:r>
              <w:rPr>
                <w:rStyle w:val="15"/>
                <w:rFonts w:ascii="Arial" w:hAnsi="Arial" w:eastAsia="Arial" w:cs="Arial"/>
                <w:sz w:val="16"/>
                <w:szCs w:val="16"/>
              </w:rPr>
              <w:t>TotalSegmentator</w:t>
            </w:r>
            <w:r>
              <w:rPr>
                <w:rStyle w:val="15"/>
                <w:rFonts w:ascii="Arial" w:hAnsi="Arial" w:eastAsia="Arial" w:cs="Arial"/>
                <w:sz w:val="16"/>
                <w:szCs w:val="16"/>
              </w:rPr>
              <w:fldChar w:fldCharType="end"/>
            </w:r>
          </w:p>
        </w:tc>
        <w:tc>
          <w:tcPr>
            <w:tcW w:w="4600" w:type="dxa"/>
            <w:tcBorders>
              <w:top w:val="single" w:color="D9E1DF" w:sz="4" w:space="0"/>
              <w:left w:val="single" w:color="D9E1DF" w:sz="4" w:space="0"/>
              <w:bottom w:val="single" w:color="D9E1DF" w:sz="4" w:space="0"/>
              <w:right w:val="single" w:color="D9E1DF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068EA64">
            <w:pPr>
              <w:pStyle w:val="17"/>
              <w:numPr>
                <w:ilvl w:val="0"/>
                <w:numId w:val="5"/>
              </w:numPr>
              <w:spacing w:after="50"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Encode the CT volume: </w:t>
            </w:r>
            <w:r>
              <w:rPr>
                <w:rFonts w:ascii="Arial" w:hAnsi="Arial" w:eastAsia="Arial" w:cs="Arial"/>
                <w:sz w:val="16"/>
                <w:szCs w:val="16"/>
              </w:rPr>
              <w:t>A 3D ResNet-152 (2D ImageNet weights inflated to 3D, I3D) turns the full abdominal CT into one embedding.</w:t>
            </w:r>
          </w:p>
          <w:p w14:paraId="3084FEA2">
            <w:pPr>
              <w:pStyle w:val="17"/>
              <w:numPr>
                <w:ilvl w:val="0"/>
                <w:numId w:val="5"/>
              </w:numPr>
              <w:spacing w:after="50"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Learn from EHR codes: </w:t>
            </w:r>
            <w:r>
              <w:rPr>
                <w:rFonts w:ascii="Arial" w:hAnsi="Arial" w:eastAsia="Arial" w:cs="Arial"/>
                <w:sz w:val="16"/>
                <w:szCs w:val="16"/>
              </w:rPr>
              <w:t>The image embedding predicts 692 diagnosis phenotypes from the hospital record, using binary cross-entropy. No manual labels are needed.</w:t>
            </w:r>
          </w:p>
          <w:p w14:paraId="52A8BC7D">
            <w:pPr>
              <w:pStyle w:val="17"/>
              <w:numPr>
                <w:ilvl w:val="0"/>
                <w:numId w:val="5"/>
              </w:numPr>
              <w:spacing w:after="50"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Learn from reports: </w:t>
            </w:r>
            <w:r>
              <w:rPr>
                <w:rFonts w:ascii="Arial" w:hAnsi="Arial" w:eastAsia="Arial" w:cs="Arial"/>
                <w:sz w:val="16"/>
                <w:szCs w:val="16"/>
              </w:rPr>
              <w:t>A Clinical Longformer encodes the report; InfoNCE contrastive loss pulls matching CT-report pairs together.</w:t>
            </w:r>
          </w:p>
          <w:p w14:paraId="0496CFF4">
            <w:pPr>
              <w:pStyle w:val="17"/>
              <w:numPr>
                <w:ilvl w:val="0"/>
                <w:numId w:val="5"/>
              </w:numPr>
              <w:spacing w:after="50"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Split reports by organ: </w:t>
            </w:r>
            <w:r>
              <w:rPr>
                <w:rFonts w:ascii="Arial" w:hAnsi="Arial" w:eastAsia="Arial" w:cs="Arial"/>
                <w:sz w:val="16"/>
                <w:szCs w:val="16"/>
              </w:rPr>
              <w:t>Reports are broken into organ sections ("liver: normal") for finer contrastive matching.</w:t>
            </w:r>
          </w:p>
          <w:p w14:paraId="12946A09">
            <w:pPr>
              <w:pStyle w:val="17"/>
              <w:numPr>
                <w:ilvl w:val="0"/>
                <w:numId w:val="5"/>
              </w:numPr>
              <w:spacing w:after="50"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Use or adapt the model: </w:t>
            </w:r>
            <w:r>
              <w:rPr>
                <w:rFonts w:ascii="Arial" w:hAnsi="Arial" w:eastAsia="Arial" w:cs="Arial"/>
                <w:sz w:val="16"/>
                <w:szCs w:val="16"/>
              </w:rPr>
              <w:t>Off-the-shelf: zero-shot findings, phenotypes, retrieval. Adapted: disease prediction, report generation, segmentation of 20 organs.</w:t>
            </w:r>
          </w:p>
          <w:p w14:paraId="32E0CCBD">
            <w:pPr>
              <w:spacing w:before="60"/>
            </w:pPr>
            <w:r>
              <w:rPr>
                <w:rFonts w:ascii="Arial" w:hAnsi="Arial" w:eastAsia="Arial" w:cs="Arial"/>
                <w:b/>
                <w:bCs/>
                <w:color w:val="0F6B63"/>
                <w:sz w:val="15"/>
                <w:szCs w:val="15"/>
              </w:rPr>
              <w:t>Flow: CT → 3D ResNet → EHR loss + report contrastive → 752 tasks</w:t>
            </w:r>
          </w:p>
        </w:tc>
        <w:tc>
          <w:tcPr>
            <w:tcW w:w="2600" w:type="dxa"/>
            <w:tcBorders>
              <w:top w:val="single" w:color="D9E1DF" w:sz="4" w:space="0"/>
              <w:left w:val="single" w:color="D9E1DF" w:sz="4" w:space="0"/>
              <w:bottom w:val="single" w:color="D9E1DF" w:sz="4" w:space="0"/>
              <w:right w:val="single" w:color="D9E1DF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455879">
            <w:pPr>
              <w:pStyle w:val="17"/>
              <w:numPr>
                <w:ilvl w:val="0"/>
                <w:numId w:val="1"/>
              </w:numPr>
              <w:spacing w:after="40"/>
            </w:pPr>
            <w:r>
              <w:rPr>
                <w:rFonts w:ascii="Arial" w:hAnsi="Arial" w:eastAsia="Arial" w:cs="Arial"/>
                <w:sz w:val="16"/>
                <w:szCs w:val="16"/>
              </w:rPr>
              <w:t>Zero-shot findings F1 0.741 internal / 0.647 external</w:t>
            </w:r>
          </w:p>
          <w:p w14:paraId="7F232365">
            <w:pPr>
              <w:pStyle w:val="17"/>
              <w:numPr>
                <w:ilvl w:val="0"/>
                <w:numId w:val="1"/>
              </w:numPr>
              <w:spacing w:after="40"/>
            </w:pPr>
            <w:r>
              <w:rPr>
                <w:rFonts w:ascii="Arial" w:hAnsi="Arial" w:eastAsia="Arial" w:cs="Arial"/>
                <w:sz w:val="16"/>
                <w:szCs w:val="16"/>
              </w:rPr>
              <w:t>VerSe fracture zero-shot F1 0.767</w:t>
            </w:r>
          </w:p>
          <w:p w14:paraId="61AB3512">
            <w:pPr>
              <w:pStyle w:val="17"/>
              <w:numPr>
                <w:ilvl w:val="0"/>
                <w:numId w:val="1"/>
              </w:numPr>
              <w:spacing w:after="40"/>
            </w:pPr>
            <w:r>
              <w:rPr>
                <w:rFonts w:ascii="Arial" w:hAnsi="Arial" w:eastAsia="Arial" w:cs="Arial"/>
                <w:sz w:val="16"/>
                <w:szCs w:val="16"/>
              </w:rPr>
              <w:t>692 phenotypes: macro AUROC 0.812</w:t>
            </w:r>
          </w:p>
          <w:p w14:paraId="7D9ED790">
            <w:pPr>
              <w:pStyle w:val="17"/>
              <w:numPr>
                <w:ilvl w:val="0"/>
                <w:numId w:val="1"/>
              </w:numPr>
              <w:spacing w:after="40"/>
            </w:pPr>
            <w:r>
              <w:rPr>
                <w:rFonts w:ascii="Arial" w:hAnsi="Arial" w:eastAsia="Arial" w:cs="Arial"/>
                <w:sz w:val="16"/>
                <w:szCs w:val="16"/>
              </w:rPr>
              <w:t>5-year disease prediction AUROC 0.757</w:t>
            </w:r>
          </w:p>
        </w:tc>
        <w:tc>
          <w:tcPr>
            <w:tcW w:w="2898" w:type="dxa"/>
            <w:tcBorders>
              <w:top w:val="single" w:color="D9E1DF" w:sz="4" w:space="0"/>
              <w:left w:val="single" w:color="D9E1DF" w:sz="4" w:space="0"/>
              <w:bottom w:val="single" w:color="D9E1DF" w:sz="4" w:space="0"/>
              <w:right w:val="single" w:color="D9E1DF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45178E">
            <w:pPr>
              <w:spacing w:after="60"/>
            </w:pPr>
            <w:r>
              <w:rPr>
                <w:rFonts w:ascii="Arial" w:hAnsi="Arial" w:eastAsia="Arial" w:cs="Arial"/>
                <w:sz w:val="16"/>
                <w:szCs w:val="16"/>
              </w:rPr>
              <w:t>Outperforms task-specific and foundation baselines: 2D OpenCLIP/BiomedCLIP, 2D-to-3D lifted VLMs, and the 3D Google CT foundation model (+5.01% F1, +7.68% AUROC). Beats RadFM in report generation and nnUNet by 4.7% Dice with limited labels. Its main point is that cheap EHR codes plus reports give strong 3D CT pre-training on modest compute.</w:t>
            </w:r>
          </w:p>
        </w:tc>
      </w:tr>
      <w:tr w14:paraId="1F240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D9E1DF" w:sz="4" w:space="0"/>
              <w:left w:val="single" w:color="D9E1DF" w:sz="4" w:space="0"/>
              <w:bottom w:val="single" w:color="D9E1DF" w:sz="4" w:space="0"/>
              <w:right w:val="single" w:color="D9E1DF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A4ECF2">
            <w:pPr>
              <w:spacing w:after="60"/>
            </w:pPr>
            <w:r>
              <w:rPr>
                <w:rFonts w:ascii="Arial" w:hAnsi="Arial" w:eastAsia="Arial" w:cs="Arial"/>
                <w:color w:val="56655F"/>
                <w:sz w:val="16"/>
                <w:szCs w:val="16"/>
              </w:rPr>
              <w:t>5</w:t>
            </w:r>
          </w:p>
        </w:tc>
        <w:tc>
          <w:tcPr>
            <w:tcW w:w="2300" w:type="dxa"/>
            <w:tcBorders>
              <w:top w:val="single" w:color="D9E1DF" w:sz="4" w:space="0"/>
              <w:left w:val="single" w:color="D9E1DF" w:sz="4" w:space="0"/>
              <w:bottom w:val="single" w:color="D9E1DF" w:sz="4" w:space="0"/>
              <w:right w:val="single" w:color="D9E1DF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45D089">
            <w:pPr>
              <w:spacing w:after="60"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>Towards a holistic framework for multimodal LLM in 3D brain CT radiology report generation (BrainGPT)</w:t>
            </w:r>
          </w:p>
          <w:p w14:paraId="49E78030">
            <w:pPr>
              <w:spacing w:after="60"/>
            </w:pPr>
            <w:r>
              <w:rPr>
                <w:rFonts w:ascii="Arial" w:hAnsi="Arial" w:eastAsia="Arial" w:cs="Arial"/>
                <w:i/>
                <w:iCs/>
                <w:color w:val="56655F"/>
                <w:sz w:val="16"/>
                <w:szCs w:val="16"/>
              </w:rPr>
              <w:t>Li et al., Nature Communications 16:2258 (2025)</w:t>
            </w:r>
          </w:p>
          <w:p w14:paraId="57C1B5D3">
            <w:pPr>
              <w:spacing w:after="60"/>
            </w:pPr>
            <w:r>
              <w:rPr>
                <w:rFonts w:ascii="Arial" w:hAnsi="Arial" w:eastAsia="Arial" w:cs="Arial"/>
                <w:b/>
                <w:bCs/>
                <w:color w:val="0F6B63"/>
                <w:sz w:val="15"/>
                <w:szCs w:val="15"/>
              </w:rPr>
              <w:t>Experimental</w:t>
            </w:r>
          </w:p>
        </w:tc>
        <w:tc>
          <w:tcPr>
            <w:tcW w:w="2600" w:type="dxa"/>
            <w:tcBorders>
              <w:top w:val="single" w:color="D9E1DF" w:sz="4" w:space="0"/>
              <w:left w:val="single" w:color="D9E1DF" w:sz="4" w:space="0"/>
              <w:bottom w:val="single" w:color="D9E1DF" w:sz="4" w:space="0"/>
              <w:right w:val="single" w:color="D9E1DF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AC1084">
            <w:pPr>
              <w:spacing w:after="60"/>
            </w:pPr>
            <w:r>
              <w:rPr>
                <w:rFonts w:ascii="Arial" w:hAnsi="Arial" w:eastAsia="Arial" w:cs="Arial"/>
                <w:sz w:val="16"/>
                <w:szCs w:val="16"/>
              </w:rPr>
              <w:t>3D-BrainCT: 18,885 text-scan pairs from Taipei Veterans General Hospital (private, access by IRB request); external test on CQ500</w:t>
            </w:r>
          </w:p>
          <w:p w14:paraId="3127788E">
            <w:pPr>
              <w:pStyle w:val="17"/>
              <w:numPr>
                <w:ilvl w:val="0"/>
                <w:numId w:val="1"/>
              </w:numPr>
              <w:spacing w:after="40"/>
            </w:pPr>
            <w:r>
              <w:fldChar w:fldCharType="begin"/>
            </w:r>
            <w:r>
              <w:instrText xml:space="preserve"> HYPERLINK "https://www.kaggle.com/datasets/crawford/qureai-headct" </w:instrText>
            </w:r>
            <w:r>
              <w:fldChar w:fldCharType="separate"/>
            </w:r>
            <w:r>
              <w:rPr>
                <w:rStyle w:val="15"/>
                <w:rFonts w:ascii="Arial" w:hAnsi="Arial" w:eastAsia="Arial" w:cs="Arial"/>
                <w:sz w:val="16"/>
                <w:szCs w:val="16"/>
              </w:rPr>
              <w:t>CQ500 head CT (Kaggle)</w:t>
            </w:r>
            <w:r>
              <w:rPr>
                <w:rStyle w:val="15"/>
                <w:rFonts w:ascii="Arial" w:hAnsi="Arial" w:eastAsia="Arial" w:cs="Arial"/>
                <w:sz w:val="16"/>
                <w:szCs w:val="16"/>
              </w:rPr>
              <w:fldChar w:fldCharType="end"/>
            </w:r>
          </w:p>
          <w:p w14:paraId="63D13946">
            <w:pPr>
              <w:spacing w:after="60"/>
            </w:pPr>
            <w:r>
              <w:rPr>
                <w:rFonts w:ascii="Arial" w:hAnsi="Arial" w:eastAsia="Arial" w:cs="Arial"/>
                <w:i/>
                <w:iCs/>
                <w:color w:val="56655F"/>
                <w:sz w:val="16"/>
                <w:szCs w:val="16"/>
              </w:rPr>
              <w:t>3D-BrainCT is not public; request via TPEVGH (irbopinion@vghtpe.gov.tw)</w:t>
            </w:r>
          </w:p>
        </w:tc>
        <w:tc>
          <w:tcPr>
            <w:tcW w:w="4600" w:type="dxa"/>
            <w:tcBorders>
              <w:top w:val="single" w:color="D9E1DF" w:sz="4" w:space="0"/>
              <w:left w:val="single" w:color="D9E1DF" w:sz="4" w:space="0"/>
              <w:bottom w:val="single" w:color="D9E1DF" w:sz="4" w:space="0"/>
              <w:right w:val="single" w:color="D9E1DF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A4068B">
            <w:pPr>
              <w:pStyle w:val="17"/>
              <w:numPr>
                <w:ilvl w:val="0"/>
                <w:numId w:val="6"/>
              </w:numPr>
              <w:spacing w:after="50"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Start from Otter: </w:t>
            </w:r>
            <w:r>
              <w:rPr>
                <w:rFonts w:ascii="Arial" w:hAnsi="Arial" w:eastAsia="Arial" w:cs="Arial"/>
                <w:sz w:val="16"/>
                <w:szCs w:val="16"/>
              </w:rPr>
              <w:t>Otter (built on OpenFlamingo) uses a frozen CLIP ViT for images and LLaMA-7B for text.</w:t>
            </w:r>
          </w:p>
          <w:p w14:paraId="5B1DF7C8">
            <w:pPr>
              <w:pStyle w:val="17"/>
              <w:numPr>
                <w:ilvl w:val="0"/>
                <w:numId w:val="6"/>
              </w:numPr>
              <w:spacing w:after="50"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Feed the 3D scan as a slice sequence: </w:t>
            </w:r>
            <w:r>
              <w:rPr>
                <w:rFonts w:ascii="Arial" w:hAnsi="Arial" w:eastAsia="Arial" w:cs="Arial"/>
                <w:sz w:val="16"/>
                <w:szCs w:val="16"/>
              </w:rPr>
              <w:t>A perceiver resampler compresses the CT slices into a fixed set of visual tokens.</w:t>
            </w:r>
          </w:p>
          <w:p w14:paraId="723BB935">
            <w:pPr>
              <w:pStyle w:val="17"/>
              <w:numPr>
                <w:ilvl w:val="0"/>
                <w:numId w:val="6"/>
              </w:numPr>
              <w:spacing w:after="50"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Connect vision to language: </w:t>
            </w:r>
            <w:r>
              <w:rPr>
                <w:rFonts w:ascii="Arial" w:hAnsi="Arial" w:eastAsia="Arial" w:cs="Arial"/>
                <w:sz w:val="16"/>
                <w:szCs w:val="16"/>
              </w:rPr>
              <w:t>Gated cross-attention layers inside LLaMA let text tokens look at the visual tokens.</w:t>
            </w:r>
          </w:p>
          <w:p w14:paraId="4A566A32">
            <w:pPr>
              <w:pStyle w:val="17"/>
              <w:numPr>
                <w:ilvl w:val="0"/>
                <w:numId w:val="6"/>
              </w:numPr>
              <w:spacing w:after="50"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Clinical visual instruction tuning (CVIT): </w:t>
            </w:r>
            <w:r>
              <w:rPr>
                <w:rFonts w:ascii="Arial" w:hAnsi="Arial" w:eastAsia="Arial" w:cs="Arial"/>
                <w:sz w:val="16"/>
                <w:szCs w:val="16"/>
              </w:rPr>
              <w:t>Four instruction styles are tried (plain, with example, with report template, with keywords) to teach radiology wording.</w:t>
            </w:r>
          </w:p>
          <w:p w14:paraId="35B43648">
            <w:pPr>
              <w:pStyle w:val="17"/>
              <w:numPr>
                <w:ilvl w:val="0"/>
                <w:numId w:val="6"/>
              </w:numPr>
              <w:spacing w:after="50"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Evaluate with FORTE: </w:t>
            </w:r>
            <w:r>
              <w:rPr>
                <w:rFonts w:ascii="Arial" w:hAnsi="Arial" w:eastAsia="Arial" w:cs="Arial"/>
                <w:sz w:val="16"/>
                <w:szCs w:val="16"/>
              </w:rPr>
              <w:t>Reports are scored on clinical keywords in four groups: degree, landmark, feature and impression.</w:t>
            </w:r>
          </w:p>
          <w:p w14:paraId="6AC05608">
            <w:pPr>
              <w:spacing w:before="60"/>
            </w:pPr>
            <w:r>
              <w:rPr>
                <w:rFonts w:ascii="Arial" w:hAnsi="Arial" w:eastAsia="Arial" w:cs="Arial"/>
                <w:b/>
                <w:bCs/>
                <w:color w:val="0F6B63"/>
                <w:sz w:val="15"/>
                <w:szCs w:val="15"/>
              </w:rPr>
              <w:t>Flow: Brain CT → CLIP ViT → perceiver → LLaMA-7B + CVIT → FORTE</w:t>
            </w:r>
          </w:p>
        </w:tc>
        <w:tc>
          <w:tcPr>
            <w:tcW w:w="2600" w:type="dxa"/>
            <w:tcBorders>
              <w:top w:val="single" w:color="D9E1DF" w:sz="4" w:space="0"/>
              <w:left w:val="single" w:color="D9E1DF" w:sz="4" w:space="0"/>
              <w:bottom w:val="single" w:color="D9E1DF" w:sz="4" w:space="0"/>
              <w:right w:val="single" w:color="D9E1DF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F25F74">
            <w:pPr>
              <w:pStyle w:val="17"/>
              <w:numPr>
                <w:ilvl w:val="0"/>
                <w:numId w:val="1"/>
              </w:numPr>
              <w:spacing w:after="40"/>
            </w:pPr>
            <w:r>
              <w:rPr>
                <w:rFonts w:ascii="Arial" w:hAnsi="Arial" w:eastAsia="Arial" w:cs="Arial"/>
                <w:sz w:val="16"/>
                <w:szCs w:val="16"/>
              </w:rPr>
              <w:t>FORTE average F1 0.71 (degree 0.661, landmark 0.706, feature 0.693, impression 0.779)</w:t>
            </w:r>
          </w:p>
          <w:p w14:paraId="2A919569">
            <w:pPr>
              <w:pStyle w:val="17"/>
              <w:numPr>
                <w:ilvl w:val="0"/>
                <w:numId w:val="1"/>
              </w:numPr>
              <w:spacing w:after="40"/>
            </w:pPr>
            <w:r>
              <w:rPr>
                <w:rFonts w:ascii="Arial" w:hAnsi="Arial" w:eastAsia="Arial" w:cs="Arial"/>
                <w:sz w:val="16"/>
                <w:szCs w:val="16"/>
              </w:rPr>
              <w:t>74% of reports indistinguishable from human-written</w:t>
            </w:r>
          </w:p>
        </w:tc>
        <w:tc>
          <w:tcPr>
            <w:tcW w:w="2898" w:type="dxa"/>
            <w:tcBorders>
              <w:top w:val="single" w:color="D9E1DF" w:sz="4" w:space="0"/>
              <w:left w:val="single" w:color="D9E1DF" w:sz="4" w:space="0"/>
              <w:bottom w:val="single" w:color="D9E1DF" w:sz="4" w:space="0"/>
              <w:right w:val="single" w:color="D9E1DF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EC18F3">
            <w:pPr>
              <w:spacing w:after="60"/>
            </w:pPr>
            <w:r>
              <w:rPr>
                <w:rFonts w:ascii="Arial" w:hAnsi="Arial" w:eastAsia="Arial" w:cs="Arial"/>
                <w:sz w:val="16"/>
                <w:szCs w:val="16"/>
              </w:rPr>
              <w:t>First MLLM framework for 3D brain CT report generation. The baseline Otter scored BLEU-4 = 0 and CIDEr-R = 5.9; CVIT lifts it substantially. It also argues that BLEU/ROUGE miss clinical correctness, so it introduces FORTE to measure diagnostic keywords instead.</w:t>
            </w:r>
          </w:p>
        </w:tc>
      </w:tr>
      <w:tr w14:paraId="73C8C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D9E1DF" w:sz="4" w:space="0"/>
              <w:left w:val="single" w:color="D9E1DF" w:sz="4" w:space="0"/>
              <w:bottom w:val="single" w:color="D9E1DF" w:sz="4" w:space="0"/>
              <w:right w:val="single" w:color="D9E1DF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792B8E">
            <w:pPr>
              <w:spacing w:after="60"/>
            </w:pPr>
            <w:r>
              <w:rPr>
                <w:rFonts w:ascii="Arial" w:hAnsi="Arial" w:eastAsia="Arial" w:cs="Arial"/>
                <w:color w:val="56655F"/>
                <w:sz w:val="16"/>
                <w:szCs w:val="16"/>
              </w:rPr>
              <w:t>6</w:t>
            </w:r>
          </w:p>
        </w:tc>
        <w:tc>
          <w:tcPr>
            <w:tcW w:w="2300" w:type="dxa"/>
            <w:tcBorders>
              <w:top w:val="single" w:color="D9E1DF" w:sz="4" w:space="0"/>
              <w:left w:val="single" w:color="D9E1DF" w:sz="4" w:space="0"/>
              <w:bottom w:val="single" w:color="D9E1DF" w:sz="4" w:space="0"/>
              <w:right w:val="single" w:color="D9E1DF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6FA9DC">
            <w:pPr>
              <w:spacing w:after="60"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>Towards generalist foundation model for radiology by leveraging web-scale 2D&amp;3D medical data (RadFM)</w:t>
            </w:r>
          </w:p>
          <w:p w14:paraId="783C9D24">
            <w:pPr>
              <w:spacing w:after="60"/>
            </w:pPr>
            <w:r>
              <w:rPr>
                <w:rFonts w:ascii="Arial" w:hAnsi="Arial" w:eastAsia="Arial" w:cs="Arial"/>
                <w:i/>
                <w:iCs/>
                <w:color w:val="56655F"/>
                <w:sz w:val="16"/>
                <w:szCs w:val="16"/>
              </w:rPr>
              <w:t>Wu et al., Nature Communications (2025)</w:t>
            </w:r>
          </w:p>
          <w:p w14:paraId="3B0E5F0B">
            <w:pPr>
              <w:spacing w:after="60"/>
            </w:pPr>
            <w:r>
              <w:rPr>
                <w:rFonts w:ascii="Arial" w:hAnsi="Arial" w:eastAsia="Arial" w:cs="Arial"/>
                <w:b/>
                <w:bCs/>
                <w:color w:val="0F6B63"/>
                <w:sz w:val="15"/>
                <w:szCs w:val="15"/>
              </w:rPr>
              <w:t>Experimental</w:t>
            </w:r>
          </w:p>
        </w:tc>
        <w:tc>
          <w:tcPr>
            <w:tcW w:w="2600" w:type="dxa"/>
            <w:tcBorders>
              <w:top w:val="single" w:color="D9E1DF" w:sz="4" w:space="0"/>
              <w:left w:val="single" w:color="D9E1DF" w:sz="4" w:space="0"/>
              <w:bottom w:val="single" w:color="D9E1DF" w:sz="4" w:space="0"/>
              <w:right w:val="single" w:color="D9E1DF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F597E6">
            <w:pPr>
              <w:spacing w:after="60"/>
            </w:pPr>
            <w:r>
              <w:rPr>
                <w:rFonts w:ascii="Arial" w:hAnsi="Arial" w:eastAsia="Arial" w:cs="Arial"/>
                <w:sz w:val="16"/>
                <w:szCs w:val="16"/>
              </w:rPr>
              <w:t>MedMD: 13M 2D images + 615K 3D scans (4 new datasets + existing ones); new benchmark RadBench; 9 public datasets (VinDr, RadChest-CT, VQA-RAD, SLAKE, PMC-VQA, MIMIC-CXR)</w:t>
            </w:r>
          </w:p>
          <w:p w14:paraId="324359B4">
            <w:pPr>
              <w:pStyle w:val="17"/>
              <w:numPr>
                <w:ilvl w:val="0"/>
                <w:numId w:val="1"/>
              </w:numPr>
              <w:spacing w:after="40"/>
            </w:pPr>
            <w:r>
              <w:fldChar w:fldCharType="begin"/>
            </w:r>
            <w:r>
              <w:instrText xml:space="preserve"> HYPERLINK "https://github.com/chaoyi-wu/RadFM" </w:instrText>
            </w:r>
            <w:r>
              <w:fldChar w:fldCharType="separate"/>
            </w:r>
            <w:r>
              <w:rPr>
                <w:rStyle w:val="15"/>
                <w:rFonts w:ascii="Arial" w:hAnsi="Arial" w:eastAsia="Arial" w:cs="Arial"/>
                <w:sz w:val="16"/>
                <w:szCs w:val="16"/>
              </w:rPr>
              <w:t>RadFM code + MedMD / RadBench links</w:t>
            </w:r>
            <w:r>
              <w:rPr>
                <w:rStyle w:val="15"/>
                <w:rFonts w:ascii="Arial" w:hAnsi="Arial" w:eastAsia="Arial" w:cs="Arial"/>
                <w:sz w:val="16"/>
                <w:szCs w:val="16"/>
              </w:rPr>
              <w:fldChar w:fldCharType="end"/>
            </w:r>
          </w:p>
          <w:p w14:paraId="22E689CC">
            <w:pPr>
              <w:pStyle w:val="17"/>
              <w:numPr>
                <w:ilvl w:val="0"/>
                <w:numId w:val="1"/>
              </w:numPr>
              <w:spacing w:after="40"/>
            </w:pPr>
            <w:r>
              <w:fldChar w:fldCharType="begin"/>
            </w:r>
            <w:r>
              <w:instrText xml:space="preserve"> HYPERLINK "https://osf.io/89kps/" </w:instrText>
            </w:r>
            <w:r>
              <w:fldChar w:fldCharType="separate"/>
            </w:r>
            <w:r>
              <w:rPr>
                <w:rStyle w:val="15"/>
                <w:rFonts w:ascii="Arial" w:hAnsi="Arial" w:eastAsia="Arial" w:cs="Arial"/>
                <w:sz w:val="16"/>
                <w:szCs w:val="16"/>
              </w:rPr>
              <w:t>VQA-RAD</w:t>
            </w:r>
            <w:r>
              <w:rPr>
                <w:rStyle w:val="15"/>
                <w:rFonts w:ascii="Arial" w:hAnsi="Arial" w:eastAsia="Arial" w:cs="Arial"/>
                <w:sz w:val="16"/>
                <w:szCs w:val="16"/>
              </w:rPr>
              <w:fldChar w:fldCharType="end"/>
            </w:r>
          </w:p>
          <w:p w14:paraId="1B962976">
            <w:pPr>
              <w:pStyle w:val="17"/>
              <w:numPr>
                <w:ilvl w:val="0"/>
                <w:numId w:val="1"/>
              </w:numPr>
              <w:spacing w:after="40"/>
            </w:pPr>
            <w:r>
              <w:fldChar w:fldCharType="begin"/>
            </w:r>
            <w:r>
              <w:instrText xml:space="preserve"> HYPERLINK "https://www.med-vqa.com/slake/" </w:instrText>
            </w:r>
            <w:r>
              <w:fldChar w:fldCharType="separate"/>
            </w:r>
            <w:r>
              <w:rPr>
                <w:rStyle w:val="15"/>
                <w:rFonts w:ascii="Arial" w:hAnsi="Arial" w:eastAsia="Arial" w:cs="Arial"/>
                <w:sz w:val="16"/>
                <w:szCs w:val="16"/>
              </w:rPr>
              <w:t>SLAKE</w:t>
            </w:r>
            <w:r>
              <w:rPr>
                <w:rStyle w:val="15"/>
                <w:rFonts w:ascii="Arial" w:hAnsi="Arial" w:eastAsia="Arial" w:cs="Arial"/>
                <w:sz w:val="16"/>
                <w:szCs w:val="16"/>
              </w:rPr>
              <w:fldChar w:fldCharType="end"/>
            </w:r>
          </w:p>
          <w:p w14:paraId="1566429E">
            <w:pPr>
              <w:pStyle w:val="17"/>
              <w:numPr>
                <w:ilvl w:val="0"/>
                <w:numId w:val="1"/>
              </w:numPr>
              <w:spacing w:after="40"/>
            </w:pPr>
            <w:r>
              <w:fldChar w:fldCharType="begin"/>
            </w:r>
            <w:r>
              <w:instrText xml:space="preserve"> HYPERLINK "https://physionet.org/content/mimic-cxr/" </w:instrText>
            </w:r>
            <w:r>
              <w:fldChar w:fldCharType="separate"/>
            </w:r>
            <w:r>
              <w:rPr>
                <w:rStyle w:val="15"/>
                <w:rFonts w:ascii="Arial" w:hAnsi="Arial" w:eastAsia="Arial" w:cs="Arial"/>
                <w:sz w:val="16"/>
                <w:szCs w:val="16"/>
              </w:rPr>
              <w:t>MIMIC-CXR (PhysioNet)</w:t>
            </w:r>
            <w:r>
              <w:rPr>
                <w:rStyle w:val="15"/>
                <w:rFonts w:ascii="Arial" w:hAnsi="Arial" w:eastAsia="Arial" w:cs="Arial"/>
                <w:sz w:val="16"/>
                <w:szCs w:val="16"/>
              </w:rPr>
              <w:fldChar w:fldCharType="end"/>
            </w:r>
          </w:p>
        </w:tc>
        <w:tc>
          <w:tcPr>
            <w:tcW w:w="4600" w:type="dxa"/>
            <w:tcBorders>
              <w:top w:val="single" w:color="D9E1DF" w:sz="4" w:space="0"/>
              <w:left w:val="single" w:color="D9E1DF" w:sz="4" w:space="0"/>
              <w:bottom w:val="single" w:color="D9E1DF" w:sz="4" w:space="0"/>
              <w:right w:val="single" w:color="D9E1DF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B6AE2E">
            <w:pPr>
              <w:pStyle w:val="17"/>
              <w:numPr>
                <w:ilvl w:val="0"/>
                <w:numId w:val="7"/>
              </w:numPr>
              <w:spacing w:after="50"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Build a large dataset: </w:t>
            </w:r>
            <w:r>
              <w:rPr>
                <w:rFonts w:ascii="Arial" w:hAnsi="Arial" w:eastAsia="Arial" w:cs="Arial"/>
                <w:sz w:val="16"/>
                <w:szCs w:val="16"/>
              </w:rPr>
              <w:t>Web-scale radiology cases (Radiopaedia, MedPix, PMC) are combined with public sets into MedMD.</w:t>
            </w:r>
          </w:p>
          <w:p w14:paraId="3F63274F">
            <w:pPr>
              <w:pStyle w:val="17"/>
              <w:numPr>
                <w:ilvl w:val="0"/>
                <w:numId w:val="7"/>
              </w:numPr>
              <w:spacing w:after="50"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Encode 2D or 3D scans: </w:t>
            </w:r>
            <w:r>
              <w:rPr>
                <w:rFonts w:ascii="Arial" w:hAnsi="Arial" w:eastAsia="Arial" w:cs="Arial"/>
                <w:sz w:val="16"/>
                <w:szCs w:val="16"/>
              </w:rPr>
              <w:t>One 3D ViT (patch size 32) takes both; 2D images are treated as single-slice volumes.</w:t>
            </w:r>
          </w:p>
          <w:p w14:paraId="2DD84DAE">
            <w:pPr>
              <w:pStyle w:val="17"/>
              <w:numPr>
                <w:ilvl w:val="0"/>
                <w:numId w:val="7"/>
              </w:numPr>
              <w:spacing w:after="50"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Compress visual tokens: </w:t>
            </w:r>
            <w:r>
              <w:rPr>
                <w:rFonts w:ascii="Arial" w:hAnsi="Arial" w:eastAsia="Arial" w:cs="Arial"/>
                <w:sz w:val="16"/>
                <w:szCs w:val="16"/>
              </w:rPr>
              <w:t>A perceiver module turns each scan into a fixed number of tokens.</w:t>
            </w:r>
          </w:p>
          <w:p w14:paraId="2E9E2F59">
            <w:pPr>
              <w:pStyle w:val="17"/>
              <w:numPr>
                <w:ilvl w:val="0"/>
                <w:numId w:val="7"/>
              </w:numPr>
              <w:spacing w:after="50"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Interleave images with text: </w:t>
            </w:r>
            <w:r>
              <w:rPr>
                <w:rFonts w:ascii="Arial" w:hAnsi="Arial" w:eastAsia="Arial" w:cs="Arial"/>
                <w:sz w:val="16"/>
                <w:szCs w:val="16"/>
              </w:rPr>
              <w:t>Scan tokens are placed where they belong inside the text prompt, so one question can refer to several scans.</w:t>
            </w:r>
          </w:p>
          <w:p w14:paraId="54C89D5D">
            <w:pPr>
              <w:pStyle w:val="17"/>
              <w:numPr>
                <w:ilvl w:val="0"/>
                <w:numId w:val="7"/>
              </w:numPr>
              <w:spacing w:after="50"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Generate with MedLLaMA-13B: </w:t>
            </w:r>
            <w:r>
              <w:rPr>
                <w:rFonts w:ascii="Arial" w:hAnsi="Arial" w:eastAsia="Arial" w:cs="Arial"/>
                <w:sz w:val="16"/>
                <w:szCs w:val="16"/>
              </w:rPr>
              <w:t>A medical LLaMA writes the diagnosis, answer, report or rationale.</w:t>
            </w:r>
          </w:p>
          <w:p w14:paraId="02961A1E">
            <w:pPr>
              <w:pStyle w:val="17"/>
              <w:numPr>
                <w:ilvl w:val="0"/>
                <w:numId w:val="7"/>
              </w:numPr>
              <w:spacing w:after="50"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Train in two stages: </w:t>
            </w:r>
            <w:r>
              <w:rPr>
                <w:rFonts w:ascii="Arial" w:hAnsi="Arial" w:eastAsia="Arial" w:cs="Arial"/>
                <w:sz w:val="16"/>
                <w:szCs w:val="16"/>
              </w:rPr>
              <w:t>Pre-train on all MedMD, then instruction-tune on cleaner radiology data (RadMD).</w:t>
            </w:r>
          </w:p>
          <w:p w14:paraId="61F288E9">
            <w:pPr>
              <w:spacing w:before="60"/>
            </w:pPr>
            <w:r>
              <w:rPr>
                <w:rFonts w:ascii="Arial" w:hAnsi="Arial" w:eastAsia="Arial" w:cs="Arial"/>
                <w:b/>
                <w:bCs/>
                <w:color w:val="0F6B63"/>
                <w:sz w:val="15"/>
                <w:szCs w:val="15"/>
              </w:rPr>
              <w:t>Flow: 2D/3D scan → 3D ViT → perceiver → interleaved prompt → MedLLaMA-13B</w:t>
            </w:r>
          </w:p>
        </w:tc>
        <w:tc>
          <w:tcPr>
            <w:tcW w:w="2600" w:type="dxa"/>
            <w:tcBorders>
              <w:top w:val="single" w:color="D9E1DF" w:sz="4" w:space="0"/>
              <w:left w:val="single" w:color="D9E1DF" w:sz="4" w:space="0"/>
              <w:bottom w:val="single" w:color="D9E1DF" w:sz="4" w:space="0"/>
              <w:right w:val="single" w:color="D9E1DF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D43D0D">
            <w:pPr>
              <w:pStyle w:val="17"/>
              <w:numPr>
                <w:ilvl w:val="0"/>
                <w:numId w:val="1"/>
              </w:numPr>
              <w:spacing w:after="40"/>
            </w:pPr>
            <w:r>
              <w:rPr>
                <w:rFonts w:ascii="Arial" w:hAnsi="Arial" w:eastAsia="Arial" w:cs="Arial"/>
                <w:sz w:val="16"/>
                <w:szCs w:val="16"/>
              </w:rPr>
              <w:t>Diagnosis ACC: CXR-Mix 83.62% , RadChest-CT 72.95% , VinDr-SpineXr 68.82% , VinDr-Mammo 59.96% , VinDr-PCXR 56.32%</w:t>
            </w:r>
          </w:p>
          <w:p w14:paraId="53A4F22F">
            <w:pPr>
              <w:pStyle w:val="17"/>
              <w:numPr>
                <w:ilvl w:val="0"/>
                <w:numId w:val="1"/>
              </w:numPr>
              <w:spacing w:after="40"/>
            </w:pPr>
            <w:r>
              <w:rPr>
                <w:rFonts w:ascii="Arial" w:hAnsi="Arial" w:eastAsia="Arial" w:cs="Arial"/>
                <w:sz w:val="16"/>
                <w:szCs w:val="16"/>
              </w:rPr>
              <w:t>VQA BLEU: SLAKE 78.56 , VQA-RAD 52.24</w:t>
            </w:r>
          </w:p>
        </w:tc>
        <w:tc>
          <w:tcPr>
            <w:tcW w:w="2898" w:type="dxa"/>
            <w:tcBorders>
              <w:top w:val="single" w:color="D9E1DF" w:sz="4" w:space="0"/>
              <w:left w:val="single" w:color="D9E1DF" w:sz="4" w:space="0"/>
              <w:bottom w:val="single" w:color="D9E1DF" w:sz="4" w:space="0"/>
              <w:right w:val="single" w:color="D9E1DF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6EABE6">
            <w:pPr>
              <w:spacing w:after="60"/>
            </w:pPr>
            <w:r>
              <w:rPr>
                <w:rFonts w:ascii="Arial" w:hAnsi="Arial" w:eastAsia="Arial" w:cs="Arial"/>
                <w:sz w:val="16"/>
                <w:szCs w:val="16"/>
              </w:rPr>
              <w:t>Outperforms earlier open multimodal foundation models and GPT-4V on RadBench, where most baselines sit near 50% (chance) on diagnosis. After fine-tuning it surpasses existing SOTAs on several public benchmarks. It is the first generalist model that takes both 2D and 3D radiology scans.</w:t>
            </w:r>
          </w:p>
        </w:tc>
      </w:tr>
      <w:tr w14:paraId="0BE77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D9E1DF" w:sz="4" w:space="0"/>
              <w:left w:val="single" w:color="D9E1DF" w:sz="4" w:space="0"/>
              <w:bottom w:val="single" w:color="D9E1DF" w:sz="4" w:space="0"/>
              <w:right w:val="single" w:color="D9E1DF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488A13">
            <w:pPr>
              <w:spacing w:after="60"/>
            </w:pPr>
            <w:r>
              <w:rPr>
                <w:rFonts w:ascii="Arial" w:hAnsi="Arial" w:eastAsia="Arial" w:cs="Arial"/>
                <w:color w:val="56655F"/>
                <w:sz w:val="16"/>
                <w:szCs w:val="16"/>
              </w:rPr>
              <w:t>7</w:t>
            </w:r>
          </w:p>
        </w:tc>
        <w:tc>
          <w:tcPr>
            <w:tcW w:w="2300" w:type="dxa"/>
            <w:tcBorders>
              <w:top w:val="single" w:color="D9E1DF" w:sz="4" w:space="0"/>
              <w:left w:val="single" w:color="D9E1DF" w:sz="4" w:space="0"/>
              <w:bottom w:val="single" w:color="D9E1DF" w:sz="4" w:space="0"/>
              <w:right w:val="single" w:color="D9E1DF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0F9388">
            <w:pPr>
              <w:spacing w:after="60"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>A generalist vision–language foundation model for diverse biomedical tasks (BiomedGPT)</w:t>
            </w:r>
          </w:p>
          <w:p w14:paraId="501D7883">
            <w:pPr>
              <w:spacing w:after="60"/>
            </w:pPr>
            <w:r>
              <w:rPr>
                <w:rFonts w:ascii="Arial" w:hAnsi="Arial" w:eastAsia="Arial" w:cs="Arial"/>
                <w:i/>
                <w:iCs/>
                <w:color w:val="56655F"/>
                <w:sz w:val="16"/>
                <w:szCs w:val="16"/>
              </w:rPr>
              <w:t>Zhang et al., Nature Medicine (2024)</w:t>
            </w:r>
          </w:p>
          <w:p w14:paraId="4A5FA840">
            <w:pPr>
              <w:spacing w:after="60"/>
            </w:pPr>
            <w:r>
              <w:rPr>
                <w:rFonts w:ascii="Arial" w:hAnsi="Arial" w:eastAsia="Arial" w:cs="Arial"/>
                <w:b/>
                <w:bCs/>
                <w:color w:val="0F6B63"/>
                <w:sz w:val="15"/>
                <w:szCs w:val="15"/>
              </w:rPr>
              <w:t>Experimental</w:t>
            </w:r>
          </w:p>
        </w:tc>
        <w:tc>
          <w:tcPr>
            <w:tcW w:w="2600" w:type="dxa"/>
            <w:tcBorders>
              <w:top w:val="single" w:color="D9E1DF" w:sz="4" w:space="0"/>
              <w:left w:val="single" w:color="D9E1DF" w:sz="4" w:space="0"/>
              <w:bottom w:val="single" w:color="D9E1DF" w:sz="4" w:space="0"/>
              <w:right w:val="single" w:color="D9E1DF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55F33E">
            <w:pPr>
              <w:spacing w:after="60"/>
            </w:pPr>
            <w:r>
              <w:rPr>
                <w:rFonts w:ascii="Arial" w:hAnsi="Arial" w:eastAsia="Arial" w:cs="Arial"/>
                <w:sz w:val="16"/>
                <w:szCs w:val="16"/>
              </w:rPr>
              <w:t>Pre-training corpus of 592,567 images from 14 public datasets; downstream: VQA-RAD, SLAKE, PathVQA, IU X-ray, MIMIC-CXR, MedMNIST-Raw, CBIS-DDSM, MedNLI and others</w:t>
            </w:r>
          </w:p>
          <w:p w14:paraId="1640E7A3">
            <w:pPr>
              <w:pStyle w:val="17"/>
              <w:numPr>
                <w:ilvl w:val="0"/>
                <w:numId w:val="1"/>
              </w:numPr>
              <w:spacing w:after="40"/>
            </w:pPr>
            <w:r>
              <w:fldChar w:fldCharType="begin"/>
            </w:r>
            <w:r>
              <w:instrText xml:space="preserve"> HYPERLINK "https://github.com/taokz/BiomedGPT" </w:instrText>
            </w:r>
            <w:r>
              <w:fldChar w:fldCharType="separate"/>
            </w:r>
            <w:r>
              <w:rPr>
                <w:rStyle w:val="15"/>
                <w:rFonts w:ascii="Arial" w:hAnsi="Arial" w:eastAsia="Arial" w:cs="Arial"/>
                <w:sz w:val="16"/>
                <w:szCs w:val="16"/>
              </w:rPr>
              <w:t>BiomedGPT code + data list</w:t>
            </w:r>
            <w:r>
              <w:rPr>
                <w:rStyle w:val="15"/>
                <w:rFonts w:ascii="Arial" w:hAnsi="Arial" w:eastAsia="Arial" w:cs="Arial"/>
                <w:sz w:val="16"/>
                <w:szCs w:val="16"/>
              </w:rPr>
              <w:fldChar w:fldCharType="end"/>
            </w:r>
          </w:p>
          <w:p w14:paraId="1A5EC2EF">
            <w:pPr>
              <w:pStyle w:val="17"/>
              <w:numPr>
                <w:ilvl w:val="0"/>
                <w:numId w:val="1"/>
              </w:numPr>
              <w:spacing w:after="40"/>
            </w:pPr>
            <w:r>
              <w:fldChar w:fldCharType="begin"/>
            </w:r>
            <w:r>
              <w:instrText xml:space="preserve"> HYPERLINK "https://osf.io/89kps/" </w:instrText>
            </w:r>
            <w:r>
              <w:fldChar w:fldCharType="separate"/>
            </w:r>
            <w:r>
              <w:rPr>
                <w:rStyle w:val="15"/>
                <w:rFonts w:ascii="Arial" w:hAnsi="Arial" w:eastAsia="Arial" w:cs="Arial"/>
                <w:sz w:val="16"/>
                <w:szCs w:val="16"/>
              </w:rPr>
              <w:t>VQA-RAD</w:t>
            </w:r>
            <w:r>
              <w:rPr>
                <w:rStyle w:val="15"/>
                <w:rFonts w:ascii="Arial" w:hAnsi="Arial" w:eastAsia="Arial" w:cs="Arial"/>
                <w:sz w:val="16"/>
                <w:szCs w:val="16"/>
              </w:rPr>
              <w:fldChar w:fldCharType="end"/>
            </w:r>
          </w:p>
          <w:p w14:paraId="71A6C08B">
            <w:pPr>
              <w:pStyle w:val="17"/>
              <w:numPr>
                <w:ilvl w:val="0"/>
                <w:numId w:val="1"/>
              </w:numPr>
              <w:spacing w:after="40"/>
            </w:pPr>
            <w:r>
              <w:fldChar w:fldCharType="begin"/>
            </w:r>
            <w:r>
              <w:instrText xml:space="preserve"> HYPERLINK "https://www.med-vqa.com/slake/" </w:instrText>
            </w:r>
            <w:r>
              <w:fldChar w:fldCharType="separate"/>
            </w:r>
            <w:r>
              <w:rPr>
                <w:rStyle w:val="15"/>
                <w:rFonts w:ascii="Arial" w:hAnsi="Arial" w:eastAsia="Arial" w:cs="Arial"/>
                <w:sz w:val="16"/>
                <w:szCs w:val="16"/>
              </w:rPr>
              <w:t>SLAKE</w:t>
            </w:r>
            <w:r>
              <w:rPr>
                <w:rStyle w:val="15"/>
                <w:rFonts w:ascii="Arial" w:hAnsi="Arial" w:eastAsia="Arial" w:cs="Arial"/>
                <w:sz w:val="16"/>
                <w:szCs w:val="16"/>
              </w:rPr>
              <w:fldChar w:fldCharType="end"/>
            </w:r>
          </w:p>
          <w:p w14:paraId="020263D4">
            <w:pPr>
              <w:pStyle w:val="17"/>
              <w:numPr>
                <w:ilvl w:val="0"/>
                <w:numId w:val="1"/>
              </w:numPr>
              <w:spacing w:after="40"/>
            </w:pPr>
            <w:r>
              <w:fldChar w:fldCharType="begin"/>
            </w:r>
            <w:r>
              <w:instrText xml:space="preserve"> HYPERLINK "https://github.com/UCSD-AI4H/PathVQA" </w:instrText>
            </w:r>
            <w:r>
              <w:fldChar w:fldCharType="separate"/>
            </w:r>
            <w:r>
              <w:rPr>
                <w:rStyle w:val="15"/>
                <w:rFonts w:ascii="Arial" w:hAnsi="Arial" w:eastAsia="Arial" w:cs="Arial"/>
                <w:sz w:val="16"/>
                <w:szCs w:val="16"/>
              </w:rPr>
              <w:t>PathVQA</w:t>
            </w:r>
            <w:r>
              <w:rPr>
                <w:rStyle w:val="15"/>
                <w:rFonts w:ascii="Arial" w:hAnsi="Arial" w:eastAsia="Arial" w:cs="Arial"/>
                <w:sz w:val="16"/>
                <w:szCs w:val="16"/>
              </w:rPr>
              <w:fldChar w:fldCharType="end"/>
            </w:r>
          </w:p>
          <w:p w14:paraId="7F97E736">
            <w:pPr>
              <w:pStyle w:val="17"/>
              <w:numPr>
                <w:ilvl w:val="0"/>
                <w:numId w:val="1"/>
              </w:numPr>
              <w:spacing w:after="40"/>
            </w:pPr>
            <w:r>
              <w:fldChar w:fldCharType="begin"/>
            </w:r>
            <w:r>
              <w:instrText xml:space="preserve"> HYPERLINK "https://medmnist.com" </w:instrText>
            </w:r>
            <w:r>
              <w:fldChar w:fldCharType="separate"/>
            </w:r>
            <w:r>
              <w:rPr>
                <w:rStyle w:val="15"/>
                <w:rFonts w:ascii="Arial" w:hAnsi="Arial" w:eastAsia="Arial" w:cs="Arial"/>
                <w:sz w:val="16"/>
                <w:szCs w:val="16"/>
              </w:rPr>
              <w:t>MedMNIST</w:t>
            </w:r>
            <w:r>
              <w:rPr>
                <w:rStyle w:val="15"/>
                <w:rFonts w:ascii="Arial" w:hAnsi="Arial" w:eastAsia="Arial" w:cs="Arial"/>
                <w:sz w:val="16"/>
                <w:szCs w:val="16"/>
              </w:rPr>
              <w:fldChar w:fldCharType="end"/>
            </w:r>
          </w:p>
          <w:p w14:paraId="6B2925C3">
            <w:pPr>
              <w:pStyle w:val="17"/>
              <w:numPr>
                <w:ilvl w:val="0"/>
                <w:numId w:val="1"/>
              </w:numPr>
              <w:spacing w:after="40"/>
            </w:pPr>
            <w:r>
              <w:fldChar w:fldCharType="begin"/>
            </w:r>
            <w:r>
              <w:instrText xml:space="preserve"> HYPERLINK "https://physionet.org/content/mimic-cxr/" </w:instrText>
            </w:r>
            <w:r>
              <w:fldChar w:fldCharType="separate"/>
            </w:r>
            <w:r>
              <w:rPr>
                <w:rStyle w:val="15"/>
                <w:rFonts w:ascii="Arial" w:hAnsi="Arial" w:eastAsia="Arial" w:cs="Arial"/>
                <w:sz w:val="16"/>
                <w:szCs w:val="16"/>
              </w:rPr>
              <w:t>MIMIC-CXR</w:t>
            </w:r>
            <w:r>
              <w:rPr>
                <w:rStyle w:val="15"/>
                <w:rFonts w:ascii="Arial" w:hAnsi="Arial" w:eastAsia="Arial" w:cs="Arial"/>
                <w:sz w:val="16"/>
                <w:szCs w:val="16"/>
              </w:rPr>
              <w:fldChar w:fldCharType="end"/>
            </w:r>
          </w:p>
        </w:tc>
        <w:tc>
          <w:tcPr>
            <w:tcW w:w="4600" w:type="dxa"/>
            <w:tcBorders>
              <w:top w:val="single" w:color="D9E1DF" w:sz="4" w:space="0"/>
              <w:left w:val="single" w:color="D9E1DF" w:sz="4" w:space="0"/>
              <w:bottom w:val="single" w:color="D9E1DF" w:sz="4" w:space="0"/>
              <w:right w:val="single" w:color="D9E1DF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5D15B1">
            <w:pPr>
              <w:pStyle w:val="17"/>
              <w:numPr>
                <w:ilvl w:val="0"/>
                <w:numId w:val="8"/>
              </w:numPr>
              <w:spacing w:after="50"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Turn everything into tokens: </w:t>
            </w:r>
            <w:r>
              <w:rPr>
                <w:rFonts w:ascii="Arial" w:hAnsi="Arial" w:eastAsia="Arial" w:cs="Arial"/>
                <w:sz w:val="16"/>
                <w:szCs w:val="16"/>
              </w:rPr>
              <w:t>Image patches, text words and bounding boxes become one shared token vocabulary.</w:t>
            </w:r>
          </w:p>
          <w:p w14:paraId="6290DD8D">
            <w:pPr>
              <w:pStyle w:val="17"/>
              <w:numPr>
                <w:ilvl w:val="0"/>
                <w:numId w:val="8"/>
              </w:numPr>
              <w:spacing w:after="50"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One encoder–decoder Transformer: </w:t>
            </w:r>
            <w:r>
              <w:rPr>
                <w:rFonts w:ascii="Arial" w:hAnsi="Arial" w:eastAsia="Arial" w:cs="Arial"/>
                <w:sz w:val="16"/>
                <w:szCs w:val="16"/>
              </w:rPr>
              <w:t>Every task (VQA, captioning, classification, summarisation) is written as "input sequence → output sequence".</w:t>
            </w:r>
          </w:p>
          <w:p w14:paraId="08F20F00">
            <w:pPr>
              <w:pStyle w:val="17"/>
              <w:numPr>
                <w:ilvl w:val="0"/>
                <w:numId w:val="8"/>
              </w:numPr>
              <w:spacing w:after="50"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Multi-task pre-training: </w:t>
            </w:r>
            <w:r>
              <w:rPr>
                <w:rFonts w:ascii="Arial" w:hAnsi="Arial" w:eastAsia="Arial" w:cs="Arial"/>
                <w:sz w:val="16"/>
                <w:szCs w:val="16"/>
              </w:rPr>
              <w:t>Trained on image-only, text-only and image-text data from 14 datasets (masked modelling, captioning, VQA, detection).</w:t>
            </w:r>
          </w:p>
          <w:p w14:paraId="0DB1F202">
            <w:pPr>
              <w:pStyle w:val="17"/>
              <w:numPr>
                <w:ilvl w:val="0"/>
                <w:numId w:val="8"/>
              </w:numPr>
              <w:spacing w:after="50"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Fine-tune or instruct: </w:t>
            </w:r>
            <w:r>
              <w:rPr>
                <w:rFonts w:ascii="Arial" w:hAnsi="Arial" w:eastAsia="Arial" w:cs="Arial"/>
                <w:sz w:val="16"/>
                <w:szCs w:val="16"/>
              </w:rPr>
              <w:t>Fine-tuned per task, or instruction-tuned (Instruct-BiomedGPT) for zero-shot use.</w:t>
            </w:r>
          </w:p>
          <w:p w14:paraId="2C8DD87D">
            <w:pPr>
              <w:pStyle w:val="17"/>
              <w:numPr>
                <w:ilvl w:val="0"/>
                <w:numId w:val="8"/>
              </w:numPr>
              <w:spacing w:after="50"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Scale in three sizes: </w:t>
            </w:r>
            <w:r>
              <w:rPr>
                <w:rFonts w:ascii="Arial" w:hAnsi="Arial" w:eastAsia="Arial" w:cs="Arial"/>
                <w:sz w:val="16"/>
                <w:szCs w:val="16"/>
              </w:rPr>
              <w:t>Small, Medium and Base (182M) versions show the accuracy vs size trade-off.</w:t>
            </w:r>
          </w:p>
          <w:p w14:paraId="441BD6AC">
            <w:pPr>
              <w:spacing w:before="60"/>
            </w:pPr>
            <w:r>
              <w:rPr>
                <w:rFonts w:ascii="Arial" w:hAnsi="Arial" w:eastAsia="Arial" w:cs="Arial"/>
                <w:b/>
                <w:bCs/>
                <w:color w:val="0F6B63"/>
                <w:sz w:val="15"/>
                <w:szCs w:val="15"/>
              </w:rPr>
              <w:t>Flow: image + text → shared tokens → encoder–decoder → any task as text</w:t>
            </w:r>
          </w:p>
        </w:tc>
        <w:tc>
          <w:tcPr>
            <w:tcW w:w="2600" w:type="dxa"/>
            <w:tcBorders>
              <w:top w:val="single" w:color="D9E1DF" w:sz="4" w:space="0"/>
              <w:left w:val="single" w:color="D9E1DF" w:sz="4" w:space="0"/>
              <w:bottom w:val="single" w:color="D9E1DF" w:sz="4" w:space="0"/>
              <w:right w:val="single" w:color="D9E1DF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7D85C9">
            <w:pPr>
              <w:pStyle w:val="17"/>
              <w:numPr>
                <w:ilvl w:val="0"/>
                <w:numId w:val="1"/>
              </w:numPr>
              <w:spacing w:after="40"/>
            </w:pPr>
            <w:r>
              <w:rPr>
                <w:rFonts w:ascii="Arial" w:hAnsi="Arial" w:eastAsia="Arial" w:cs="Arial"/>
                <w:sz w:val="16"/>
                <w:szCs w:val="16"/>
              </w:rPr>
              <w:t>SLAKE overall accuracy 86.1%</w:t>
            </w:r>
          </w:p>
          <w:p w14:paraId="5A25B30A">
            <w:pPr>
              <w:pStyle w:val="17"/>
              <w:numPr>
                <w:ilvl w:val="0"/>
                <w:numId w:val="1"/>
              </w:numPr>
              <w:spacing w:after="40"/>
            </w:pPr>
            <w:r>
              <w:rPr>
                <w:rFonts w:ascii="Arial" w:hAnsi="Arial" w:eastAsia="Arial" w:cs="Arial"/>
                <w:sz w:val="16"/>
                <w:szCs w:val="16"/>
              </w:rPr>
              <w:t>SLAKE closed 89.9%</w:t>
            </w:r>
          </w:p>
          <w:p w14:paraId="006D4441">
            <w:pPr>
              <w:pStyle w:val="17"/>
              <w:numPr>
                <w:ilvl w:val="0"/>
                <w:numId w:val="1"/>
              </w:numPr>
              <w:spacing w:after="40"/>
            </w:pPr>
            <w:r>
              <w:rPr>
                <w:rFonts w:ascii="Arial" w:hAnsi="Arial" w:eastAsia="Arial" w:cs="Arial"/>
                <w:sz w:val="16"/>
                <w:szCs w:val="16"/>
              </w:rPr>
              <w:t>PathVQA weighted F1 56.9%</w:t>
            </w:r>
          </w:p>
          <w:p w14:paraId="4AB403F7">
            <w:pPr>
              <w:pStyle w:val="17"/>
              <w:numPr>
                <w:ilvl w:val="0"/>
                <w:numId w:val="1"/>
              </w:numPr>
              <w:spacing w:after="40"/>
            </w:pPr>
            <w:r>
              <w:rPr>
                <w:rFonts w:ascii="Arial" w:hAnsi="Arial" w:eastAsia="Arial" w:cs="Arial"/>
                <w:sz w:val="16"/>
                <w:szCs w:val="16"/>
              </w:rPr>
              <w:t>Human eval error: QA 3.8% , reports 8.3%</w:t>
            </w:r>
          </w:p>
        </w:tc>
        <w:tc>
          <w:tcPr>
            <w:tcW w:w="2898" w:type="dxa"/>
            <w:tcBorders>
              <w:top w:val="single" w:color="D9E1DF" w:sz="4" w:space="0"/>
              <w:left w:val="single" w:color="D9E1DF" w:sz="4" w:space="0"/>
              <w:bottom w:val="single" w:color="D9E1DF" w:sz="4" w:space="0"/>
              <w:right w:val="single" w:color="D9E1DF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1FC1D6">
            <w:pPr>
              <w:spacing w:after="60"/>
            </w:pPr>
            <w:r>
              <w:rPr>
                <w:rFonts w:ascii="Arial" w:hAnsi="Arial" w:eastAsia="Arial" w:cs="Arial"/>
                <w:sz w:val="16"/>
                <w:szCs w:val="16"/>
              </w:rPr>
              <w:t>SOTA in 16 of 25 experiments. On SLAKE it passes the prior best (BiomedCLIP, 85.4%). It comes within 0.4% of Med-PaLM M on PathVQA while being about 3,088× smaller, and it is fully open source.</w:t>
            </w:r>
          </w:p>
        </w:tc>
      </w:tr>
      <w:tr w14:paraId="11103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D9E1DF" w:sz="4" w:space="0"/>
              <w:left w:val="single" w:color="D9E1DF" w:sz="4" w:space="0"/>
              <w:bottom w:val="single" w:color="D9E1DF" w:sz="4" w:space="0"/>
              <w:right w:val="single" w:color="D9E1DF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49665F">
            <w:pPr>
              <w:spacing w:after="60"/>
            </w:pPr>
            <w:r>
              <w:rPr>
                <w:rFonts w:ascii="Arial" w:hAnsi="Arial" w:eastAsia="Arial" w:cs="Arial"/>
                <w:color w:val="56655F"/>
                <w:sz w:val="16"/>
                <w:szCs w:val="16"/>
              </w:rPr>
              <w:t>8</w:t>
            </w:r>
          </w:p>
        </w:tc>
        <w:tc>
          <w:tcPr>
            <w:tcW w:w="2300" w:type="dxa"/>
            <w:tcBorders>
              <w:top w:val="single" w:color="D9E1DF" w:sz="4" w:space="0"/>
              <w:left w:val="single" w:color="D9E1DF" w:sz="4" w:space="0"/>
              <w:bottom w:val="single" w:color="D9E1DF" w:sz="4" w:space="0"/>
              <w:right w:val="single" w:color="D9E1DF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FDAFD8">
            <w:pPr>
              <w:spacing w:after="60"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>Vision-language foundation model for 3D medical imaging</w:t>
            </w:r>
          </w:p>
          <w:p w14:paraId="699E703F">
            <w:pPr>
              <w:spacing w:after="60"/>
            </w:pPr>
            <w:r>
              <w:rPr>
                <w:rFonts w:ascii="Arial" w:hAnsi="Arial" w:eastAsia="Arial" w:cs="Arial"/>
                <w:i/>
                <w:iCs/>
                <w:color w:val="56655F"/>
                <w:sz w:val="16"/>
                <w:szCs w:val="16"/>
              </w:rPr>
              <w:t>Wu et al., npj Artificial Intelligence (2025)</w:t>
            </w:r>
          </w:p>
          <w:p w14:paraId="7CBC0A58">
            <w:pPr>
              <w:spacing w:after="60"/>
            </w:pPr>
            <w:r>
              <w:rPr>
                <w:rFonts w:ascii="Arial" w:hAnsi="Arial" w:eastAsia="Arial" w:cs="Arial"/>
                <w:b/>
                <w:bCs/>
                <w:color w:val="5B5FA8"/>
                <w:sz w:val="15"/>
                <w:szCs w:val="15"/>
              </w:rPr>
              <w:t>Review</w:t>
            </w:r>
          </w:p>
        </w:tc>
        <w:tc>
          <w:tcPr>
            <w:tcW w:w="2600" w:type="dxa"/>
            <w:tcBorders>
              <w:top w:val="single" w:color="D9E1DF" w:sz="4" w:space="0"/>
              <w:left w:val="single" w:color="D9E1DF" w:sz="4" w:space="0"/>
              <w:bottom w:val="single" w:color="D9E1DF" w:sz="4" w:space="0"/>
              <w:right w:val="single" w:color="D9E1DF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8CCD53">
            <w:pPr>
              <w:spacing w:after="60"/>
            </w:pPr>
            <w:r>
              <w:rPr>
                <w:rFonts w:ascii="Arial" w:hAnsi="Arial" w:eastAsia="Arial" w:cs="Arial"/>
                <w:sz w:val="16"/>
                <w:szCs w:val="16"/>
              </w:rPr>
              <w:t>Surveys datasets used by 23 VLFM studies for 3D imaging (CT, MRI), e.g. CT-RATE, M3D</w:t>
            </w:r>
          </w:p>
          <w:p w14:paraId="0F79A148">
            <w:pPr>
              <w:pStyle w:val="17"/>
              <w:numPr>
                <w:ilvl w:val="0"/>
                <w:numId w:val="1"/>
              </w:numPr>
              <w:spacing w:after="40"/>
            </w:pPr>
            <w:r>
              <w:fldChar w:fldCharType="begin"/>
            </w:r>
            <w:r>
              <w:instrText xml:space="preserve"> HYPERLINK "https://huggingface.co/datasets/ibrahimhamamci/CT-RATE" </w:instrText>
            </w:r>
            <w:r>
              <w:fldChar w:fldCharType="separate"/>
            </w:r>
            <w:r>
              <w:rPr>
                <w:rStyle w:val="15"/>
                <w:rFonts w:ascii="Arial" w:hAnsi="Arial" w:eastAsia="Arial" w:cs="Arial"/>
                <w:sz w:val="16"/>
                <w:szCs w:val="16"/>
              </w:rPr>
              <w:t>CT-RATE</w:t>
            </w:r>
            <w:r>
              <w:rPr>
                <w:rStyle w:val="15"/>
                <w:rFonts w:ascii="Arial" w:hAnsi="Arial" w:eastAsia="Arial" w:cs="Arial"/>
                <w:sz w:val="16"/>
                <w:szCs w:val="16"/>
              </w:rPr>
              <w:fldChar w:fldCharType="end"/>
            </w:r>
          </w:p>
          <w:p w14:paraId="607B64BF">
            <w:pPr>
              <w:pStyle w:val="17"/>
              <w:numPr>
                <w:ilvl w:val="0"/>
                <w:numId w:val="1"/>
              </w:numPr>
              <w:spacing w:after="40"/>
            </w:pPr>
            <w:r>
              <w:fldChar w:fldCharType="begin"/>
            </w:r>
            <w:r>
              <w:instrText xml:space="preserve"> HYPERLINK "https://github.com/BAAI-DCAI/M3D" </w:instrText>
            </w:r>
            <w:r>
              <w:fldChar w:fldCharType="separate"/>
            </w:r>
            <w:r>
              <w:rPr>
                <w:rStyle w:val="15"/>
                <w:rFonts w:ascii="Arial" w:hAnsi="Arial" w:eastAsia="Arial" w:cs="Arial"/>
                <w:sz w:val="16"/>
                <w:szCs w:val="16"/>
              </w:rPr>
              <w:t>M3D</w:t>
            </w:r>
            <w:r>
              <w:rPr>
                <w:rStyle w:val="15"/>
                <w:rFonts w:ascii="Arial" w:hAnsi="Arial" w:eastAsia="Arial" w:cs="Arial"/>
                <w:sz w:val="16"/>
                <w:szCs w:val="16"/>
              </w:rPr>
              <w:fldChar w:fldCharType="end"/>
            </w:r>
          </w:p>
        </w:tc>
        <w:tc>
          <w:tcPr>
            <w:tcW w:w="4600" w:type="dxa"/>
            <w:tcBorders>
              <w:top w:val="single" w:color="D9E1DF" w:sz="4" w:space="0"/>
              <w:left w:val="single" w:color="D9E1DF" w:sz="4" w:space="0"/>
              <w:bottom w:val="single" w:color="D9E1DF" w:sz="4" w:space="0"/>
              <w:right w:val="single" w:color="D9E1DF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0ECE8E">
            <w:pPr>
              <w:pStyle w:val="17"/>
              <w:numPr>
                <w:ilvl w:val="0"/>
                <w:numId w:val="9"/>
              </w:numPr>
              <w:spacing w:after="50"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Collect studies: </w:t>
            </w:r>
            <w:r>
              <w:rPr>
                <w:rFonts w:ascii="Arial" w:hAnsi="Arial" w:eastAsia="Arial" w:cs="Arial"/>
                <w:sz w:val="16"/>
                <w:szCs w:val="16"/>
              </w:rPr>
              <w:t>23 vision-language foundation model papers on 3D imaging.</w:t>
            </w:r>
          </w:p>
          <w:p w14:paraId="5A29AA01">
            <w:pPr>
              <w:pStyle w:val="17"/>
              <w:numPr>
                <w:ilvl w:val="0"/>
                <w:numId w:val="9"/>
              </w:numPr>
              <w:spacing w:after="50"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Compare architectures: </w:t>
            </w:r>
            <w:r>
              <w:rPr>
                <w:rFonts w:ascii="Arial" w:hAnsi="Arial" w:eastAsia="Arial" w:cs="Arial"/>
                <w:sz w:val="16"/>
                <w:szCs w:val="16"/>
              </w:rPr>
              <w:t>Image encoder, connector and LLM choices.</w:t>
            </w:r>
          </w:p>
          <w:p w14:paraId="54544233">
            <w:pPr>
              <w:pStyle w:val="17"/>
              <w:numPr>
                <w:ilvl w:val="0"/>
                <w:numId w:val="9"/>
              </w:numPr>
              <w:spacing w:after="50"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Compare data and metrics: </w:t>
            </w:r>
            <w:r>
              <w:rPr>
                <w:rFonts w:ascii="Arial" w:hAnsi="Arial" w:eastAsia="Arial" w:cs="Arial"/>
                <w:sz w:val="16"/>
                <w:szCs w:val="16"/>
              </w:rPr>
              <w:t>Training datasets and how reports are evaluated.</w:t>
            </w:r>
          </w:p>
          <w:p w14:paraId="4FC037E8">
            <w:pPr>
              <w:pStyle w:val="17"/>
              <w:numPr>
                <w:ilvl w:val="0"/>
                <w:numId w:val="9"/>
              </w:numPr>
              <w:spacing w:after="50"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List gaps: </w:t>
            </w:r>
            <w:r>
              <w:rPr>
                <w:rFonts w:ascii="Arial" w:hAnsi="Arial" w:eastAsia="Arial" w:cs="Arial"/>
                <w:sz w:val="16"/>
                <w:szCs w:val="16"/>
              </w:rPr>
              <w:t>Challenges and future directions for clinical use.</w:t>
            </w:r>
          </w:p>
        </w:tc>
        <w:tc>
          <w:tcPr>
            <w:tcW w:w="2600" w:type="dxa"/>
            <w:tcBorders>
              <w:top w:val="single" w:color="D9E1DF" w:sz="4" w:space="0"/>
              <w:left w:val="single" w:color="D9E1DF" w:sz="4" w:space="0"/>
              <w:bottom w:val="single" w:color="D9E1DF" w:sz="4" w:space="0"/>
              <w:right w:val="single" w:color="D9E1DF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E9CAFC">
            <w:pPr>
              <w:spacing w:after="60"/>
            </w:pPr>
            <w:r>
              <w:rPr>
                <w:rFonts w:ascii="Arial" w:hAnsi="Arial" w:eastAsia="Arial" w:cs="Arial"/>
                <w:color w:val="56655F"/>
                <w:sz w:val="16"/>
                <w:szCs w:val="16"/>
              </w:rPr>
              <w:t>Not applicable (no new model)</w:t>
            </w:r>
          </w:p>
        </w:tc>
        <w:tc>
          <w:tcPr>
            <w:tcW w:w="2898" w:type="dxa"/>
            <w:tcBorders>
              <w:top w:val="single" w:color="D9E1DF" w:sz="4" w:space="0"/>
              <w:left w:val="single" w:color="D9E1DF" w:sz="4" w:space="0"/>
              <w:bottom w:val="single" w:color="D9E1DF" w:sz="4" w:space="0"/>
              <w:right w:val="single" w:color="D9E1DF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A0C326">
            <w:pPr>
              <w:spacing w:after="60"/>
            </w:pPr>
            <w:r>
              <w:rPr>
                <w:rFonts w:ascii="Arial" w:hAnsi="Arial" w:eastAsia="Arial" w:cs="Arial"/>
                <w:sz w:val="16"/>
                <w:szCs w:val="16"/>
              </w:rPr>
              <w:t>No SOTA claim. Concludes that the field needs more diverse 3D datasets and standardised clinical metrics, because BLEU-style scores do not reflect report quality consistently.</w:t>
            </w:r>
          </w:p>
        </w:tc>
      </w:tr>
      <w:tr w14:paraId="75F87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D9E1DF" w:sz="4" w:space="0"/>
              <w:left w:val="single" w:color="D9E1DF" w:sz="4" w:space="0"/>
              <w:bottom w:val="single" w:color="D9E1DF" w:sz="4" w:space="0"/>
              <w:right w:val="single" w:color="D9E1DF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C8CC64">
            <w:pPr>
              <w:spacing w:after="60"/>
            </w:pPr>
            <w:r>
              <w:rPr>
                <w:rFonts w:ascii="Arial" w:hAnsi="Arial" w:eastAsia="Arial" w:cs="Arial"/>
                <w:color w:val="56655F"/>
                <w:sz w:val="16"/>
                <w:szCs w:val="16"/>
              </w:rPr>
              <w:t>9</w:t>
            </w:r>
          </w:p>
        </w:tc>
        <w:tc>
          <w:tcPr>
            <w:tcW w:w="2300" w:type="dxa"/>
            <w:tcBorders>
              <w:top w:val="single" w:color="D9E1DF" w:sz="4" w:space="0"/>
              <w:left w:val="single" w:color="D9E1DF" w:sz="4" w:space="0"/>
              <w:bottom w:val="single" w:color="D9E1DF" w:sz="4" w:space="0"/>
              <w:right w:val="single" w:color="D9E1DF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1DE8D2">
            <w:pPr>
              <w:spacing w:after="60"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>Vision-Language Models in medical image analysis: From simple fusion to general large models</w:t>
            </w:r>
          </w:p>
          <w:p w14:paraId="7CF5427F">
            <w:pPr>
              <w:spacing w:after="60"/>
            </w:pPr>
            <w:r>
              <w:rPr>
                <w:rFonts w:ascii="Arial" w:hAnsi="Arial" w:eastAsia="Arial" w:cs="Arial"/>
                <w:i/>
                <w:iCs/>
                <w:color w:val="56655F"/>
                <w:sz w:val="16"/>
                <w:szCs w:val="16"/>
              </w:rPr>
              <w:t>Li et al., Information Fusion 118:102995 (2025)</w:t>
            </w:r>
          </w:p>
          <w:p w14:paraId="492B3DB7">
            <w:pPr>
              <w:spacing w:after="60"/>
            </w:pPr>
            <w:r>
              <w:rPr>
                <w:rFonts w:ascii="Arial" w:hAnsi="Arial" w:eastAsia="Arial" w:cs="Arial"/>
                <w:b/>
                <w:bCs/>
                <w:color w:val="5B5FA8"/>
                <w:sz w:val="15"/>
                <w:szCs w:val="15"/>
              </w:rPr>
              <w:t>Review</w:t>
            </w:r>
          </w:p>
        </w:tc>
        <w:tc>
          <w:tcPr>
            <w:tcW w:w="2600" w:type="dxa"/>
            <w:tcBorders>
              <w:top w:val="single" w:color="D9E1DF" w:sz="4" w:space="0"/>
              <w:left w:val="single" w:color="D9E1DF" w:sz="4" w:space="0"/>
              <w:bottom w:val="single" w:color="D9E1DF" w:sz="4" w:space="0"/>
              <w:right w:val="single" w:color="D9E1DF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8442A3">
            <w:pPr>
              <w:spacing w:after="60"/>
            </w:pPr>
            <w:r>
              <w:rPr>
                <w:rFonts w:ascii="Arial" w:hAnsi="Arial" w:eastAsia="Arial" w:cs="Arial"/>
                <w:sz w:val="16"/>
                <w:szCs w:val="16"/>
              </w:rPr>
              <w:t>Covers 130+ papers and their datasets</w:t>
            </w:r>
          </w:p>
          <w:p w14:paraId="5999B016">
            <w:pPr>
              <w:pStyle w:val="17"/>
              <w:numPr>
                <w:ilvl w:val="0"/>
                <w:numId w:val="1"/>
              </w:numPr>
              <w:spacing w:after="40"/>
            </w:pPr>
            <w:r>
              <w:fldChar w:fldCharType="begin"/>
            </w:r>
            <w:r>
              <w:instrText xml:space="preserve"> HYPERLINK "https://github.com/XiangQA-Q/VLM-in-MIA" </w:instrText>
            </w:r>
            <w:r>
              <w:fldChar w:fldCharType="separate"/>
            </w:r>
            <w:r>
              <w:rPr>
                <w:rStyle w:val="15"/>
                <w:rFonts w:ascii="Arial" w:hAnsi="Arial" w:eastAsia="Arial" w:cs="Arial"/>
                <w:sz w:val="16"/>
                <w:szCs w:val="16"/>
              </w:rPr>
              <w:t>VLM-in-MIA paper + code repository</w:t>
            </w:r>
            <w:r>
              <w:rPr>
                <w:rStyle w:val="15"/>
                <w:rFonts w:ascii="Arial" w:hAnsi="Arial" w:eastAsia="Arial" w:cs="Arial"/>
                <w:sz w:val="16"/>
                <w:szCs w:val="16"/>
              </w:rPr>
              <w:fldChar w:fldCharType="end"/>
            </w:r>
          </w:p>
        </w:tc>
        <w:tc>
          <w:tcPr>
            <w:tcW w:w="4600" w:type="dxa"/>
            <w:tcBorders>
              <w:top w:val="single" w:color="D9E1DF" w:sz="4" w:space="0"/>
              <w:left w:val="single" w:color="D9E1DF" w:sz="4" w:space="0"/>
              <w:bottom w:val="single" w:color="D9E1DF" w:sz="4" w:space="0"/>
              <w:right w:val="single" w:color="D9E1DF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B9C2AA">
            <w:pPr>
              <w:pStyle w:val="17"/>
              <w:numPr>
                <w:ilvl w:val="0"/>
                <w:numId w:val="10"/>
              </w:numPr>
              <w:spacing w:after="50"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Explain the basics: </w:t>
            </w:r>
            <w:r>
              <w:rPr>
                <w:rFonts w:ascii="Arial" w:hAnsi="Arial" w:eastAsia="Arial" w:cs="Arial"/>
                <w:sz w:val="16"/>
                <w:szCs w:val="16"/>
              </w:rPr>
              <w:t>How VLMs work, and the pre-train then fine-tune framework.</w:t>
            </w:r>
          </w:p>
          <w:p w14:paraId="081F5F1F">
            <w:pPr>
              <w:pStyle w:val="17"/>
              <w:numPr>
                <w:ilvl w:val="0"/>
                <w:numId w:val="10"/>
              </w:numPr>
              <w:spacing w:after="50"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Review by task: </w:t>
            </w:r>
            <w:r>
              <w:rPr>
                <w:rFonts w:ascii="Arial" w:hAnsi="Arial" w:eastAsia="Arial" w:cs="Arial"/>
                <w:sz w:val="16"/>
                <w:szCs w:val="16"/>
              </w:rPr>
              <w:t>Classification, segmentation, report generation, VQA, image generation and large models.</w:t>
            </w:r>
          </w:p>
          <w:p w14:paraId="4D465183">
            <w:pPr>
              <w:pStyle w:val="17"/>
              <w:numPr>
                <w:ilvl w:val="0"/>
                <w:numId w:val="10"/>
              </w:numPr>
              <w:spacing w:after="50"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Summarise 7 characteristics: </w:t>
            </w:r>
            <w:r>
              <w:rPr>
                <w:rFonts w:ascii="Arial" w:hAnsi="Arial" w:eastAsia="Arial" w:cs="Arial"/>
                <w:sz w:val="16"/>
                <w:szCs w:val="16"/>
              </w:rPr>
              <w:t>What medical VLMs have in common, shown task by task.</w:t>
            </w:r>
          </w:p>
          <w:p w14:paraId="79EA883A">
            <w:pPr>
              <w:pStyle w:val="17"/>
              <w:numPr>
                <w:ilvl w:val="0"/>
                <w:numId w:val="10"/>
              </w:numPr>
              <w:spacing w:after="50"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Discuss challenges: </w:t>
            </w:r>
            <w:r>
              <w:rPr>
                <w:rFonts w:ascii="Arial" w:hAnsi="Arial" w:eastAsia="Arial" w:cs="Arial"/>
                <w:sz w:val="16"/>
                <w:szCs w:val="16"/>
              </w:rPr>
              <w:t>Open problems, possible solutions and future directions.</w:t>
            </w:r>
          </w:p>
        </w:tc>
        <w:tc>
          <w:tcPr>
            <w:tcW w:w="2600" w:type="dxa"/>
            <w:tcBorders>
              <w:top w:val="single" w:color="D9E1DF" w:sz="4" w:space="0"/>
              <w:left w:val="single" w:color="D9E1DF" w:sz="4" w:space="0"/>
              <w:bottom w:val="single" w:color="D9E1DF" w:sz="4" w:space="0"/>
              <w:right w:val="single" w:color="D9E1DF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B3DBBE">
            <w:pPr>
              <w:spacing w:after="60"/>
            </w:pPr>
            <w:r>
              <w:rPr>
                <w:rFonts w:ascii="Arial" w:hAnsi="Arial" w:eastAsia="Arial" w:cs="Arial"/>
                <w:color w:val="56655F"/>
                <w:sz w:val="16"/>
                <w:szCs w:val="16"/>
              </w:rPr>
              <w:t>Not applicable (no new model)</w:t>
            </w:r>
          </w:p>
        </w:tc>
        <w:tc>
          <w:tcPr>
            <w:tcW w:w="2898" w:type="dxa"/>
            <w:tcBorders>
              <w:top w:val="single" w:color="D9E1DF" w:sz="4" w:space="0"/>
              <w:left w:val="single" w:color="D9E1DF" w:sz="4" w:space="0"/>
              <w:bottom w:val="single" w:color="D9E1DF" w:sz="4" w:space="0"/>
              <w:right w:val="single" w:color="D9E1DF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DA713F">
            <w:pPr>
              <w:spacing w:after="60"/>
            </w:pPr>
            <w:r>
              <w:rPr>
                <w:rFonts w:ascii="Arial" w:hAnsi="Arial" w:eastAsia="Arial" w:cs="Arial"/>
                <w:sz w:val="16"/>
                <w:szCs w:val="16"/>
              </w:rPr>
              <w:t>No SOTA claim. Traces how VLMs moved from simple feature fusion, to zero/few-shot learning for label scarcity, to general medical large models.</w:t>
            </w:r>
          </w:p>
        </w:tc>
      </w:tr>
      <w:tr w14:paraId="76F57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D9E1DF" w:sz="4" w:space="0"/>
              <w:left w:val="single" w:color="D9E1DF" w:sz="4" w:space="0"/>
              <w:bottom w:val="single" w:color="D9E1DF" w:sz="4" w:space="0"/>
              <w:right w:val="single" w:color="D9E1DF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1EA1C5">
            <w:pPr>
              <w:spacing w:after="60"/>
            </w:pPr>
            <w:r>
              <w:rPr>
                <w:rFonts w:ascii="Arial" w:hAnsi="Arial" w:eastAsia="Arial" w:cs="Arial"/>
                <w:color w:val="56655F"/>
                <w:sz w:val="16"/>
                <w:szCs w:val="16"/>
              </w:rPr>
              <w:t>10</w:t>
            </w:r>
          </w:p>
        </w:tc>
        <w:tc>
          <w:tcPr>
            <w:tcW w:w="2300" w:type="dxa"/>
            <w:tcBorders>
              <w:top w:val="single" w:color="D9E1DF" w:sz="4" w:space="0"/>
              <w:left w:val="single" w:color="D9E1DF" w:sz="4" w:space="0"/>
              <w:bottom w:val="single" w:color="D9E1DF" w:sz="4" w:space="0"/>
              <w:right w:val="single" w:color="D9E1DF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C5FDD0">
            <w:pPr>
              <w:spacing w:after="60"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>Foundation models for generalist medical artificial intelligence</w:t>
            </w:r>
          </w:p>
          <w:p w14:paraId="046BEE75">
            <w:pPr>
              <w:spacing w:after="60"/>
            </w:pPr>
            <w:r>
              <w:rPr>
                <w:rFonts w:ascii="Arial" w:hAnsi="Arial" w:eastAsia="Arial" w:cs="Arial"/>
                <w:i/>
                <w:iCs/>
                <w:color w:val="56655F"/>
                <w:sz w:val="16"/>
                <w:szCs w:val="16"/>
              </w:rPr>
              <w:t>Moor et al., Nature 616 (2023)</w:t>
            </w:r>
          </w:p>
          <w:p w14:paraId="14D1863F">
            <w:pPr>
              <w:spacing w:after="60"/>
            </w:pPr>
            <w:r>
              <w:rPr>
                <w:rFonts w:ascii="Arial" w:hAnsi="Arial" w:eastAsia="Arial" w:cs="Arial"/>
                <w:b/>
                <w:bCs/>
                <w:color w:val="5B5FA8"/>
                <w:sz w:val="15"/>
                <w:szCs w:val="15"/>
              </w:rPr>
              <w:t>Perspective</w:t>
            </w:r>
          </w:p>
        </w:tc>
        <w:tc>
          <w:tcPr>
            <w:tcW w:w="2600" w:type="dxa"/>
            <w:tcBorders>
              <w:top w:val="single" w:color="D9E1DF" w:sz="4" w:space="0"/>
              <w:left w:val="single" w:color="D9E1DF" w:sz="4" w:space="0"/>
              <w:bottom w:val="single" w:color="D9E1DF" w:sz="4" w:space="0"/>
              <w:right w:val="single" w:color="D9E1DF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974099">
            <w:pPr>
              <w:spacing w:after="60"/>
            </w:pPr>
            <w:r>
              <w:rPr>
                <w:rFonts w:ascii="Arial" w:hAnsi="Arial" w:eastAsia="Arial" w:cs="Arial"/>
                <w:sz w:val="16"/>
                <w:szCs w:val="16"/>
              </w:rPr>
              <w:t>No dataset; describes the multimodal data (imaging, EHR, labs, genomics, text) GMAI would need</w:t>
            </w:r>
          </w:p>
        </w:tc>
        <w:tc>
          <w:tcPr>
            <w:tcW w:w="4600" w:type="dxa"/>
            <w:tcBorders>
              <w:top w:val="single" w:color="D9E1DF" w:sz="4" w:space="0"/>
              <w:left w:val="single" w:color="D9E1DF" w:sz="4" w:space="0"/>
              <w:bottom w:val="single" w:color="D9E1DF" w:sz="4" w:space="0"/>
              <w:right w:val="single" w:color="D9E1DF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4DF621">
            <w:pPr>
              <w:pStyle w:val="17"/>
              <w:numPr>
                <w:ilvl w:val="0"/>
                <w:numId w:val="11"/>
              </w:numPr>
              <w:spacing w:after="50"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Define GMAI: </w:t>
            </w:r>
            <w:r>
              <w:rPr>
                <w:rFonts w:ascii="Arial" w:hAnsi="Arial" w:eastAsia="Arial" w:cs="Arial"/>
                <w:sz w:val="16"/>
                <w:szCs w:val="16"/>
              </w:rPr>
              <w:t>One model that handles many medical tasks with little or no task-specific labelled data.</w:t>
            </w:r>
          </w:p>
          <w:p w14:paraId="242307A5">
            <w:pPr>
              <w:pStyle w:val="17"/>
              <w:numPr>
                <w:ilvl w:val="0"/>
                <w:numId w:val="11"/>
              </w:numPr>
              <w:spacing w:after="50"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Training recipe: </w:t>
            </w:r>
            <w:r>
              <w:rPr>
                <w:rFonts w:ascii="Arial" w:hAnsi="Arial" w:eastAsia="Arial" w:cs="Arial"/>
                <w:sz w:val="16"/>
                <w:szCs w:val="16"/>
              </w:rPr>
              <w:t>Self-supervision on large, diverse multimodal medical data.</w:t>
            </w:r>
          </w:p>
          <w:p w14:paraId="091A81CC">
            <w:pPr>
              <w:pStyle w:val="17"/>
              <w:numPr>
                <w:ilvl w:val="0"/>
                <w:numId w:val="11"/>
              </w:numPr>
              <w:spacing w:after="50"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Key abilities: </w:t>
            </w:r>
            <w:r>
              <w:rPr>
                <w:rFonts w:ascii="Arial" w:hAnsi="Arial" w:eastAsia="Arial" w:cs="Arial"/>
                <w:sz w:val="16"/>
                <w:szCs w:val="16"/>
              </w:rPr>
              <w:t>Tasks set by plain-language instructions, any mix of inputs and outputs, medical reasoning.</w:t>
            </w:r>
          </w:p>
          <w:p w14:paraId="18D9712C">
            <w:pPr>
              <w:pStyle w:val="17"/>
              <w:numPr>
                <w:ilvl w:val="0"/>
                <w:numId w:val="11"/>
              </w:numPr>
              <w:spacing w:after="50"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Applications and risks: </w:t>
            </w:r>
            <w:r>
              <w:rPr>
                <w:rFonts w:ascii="Arial" w:hAnsi="Arial" w:eastAsia="Arial" w:cs="Arial"/>
                <w:sz w:val="16"/>
                <w:szCs w:val="16"/>
              </w:rPr>
              <w:t>Uses such as bedside support and report drafting; raises validation, regulation and privacy issues.</w:t>
            </w:r>
          </w:p>
        </w:tc>
        <w:tc>
          <w:tcPr>
            <w:tcW w:w="2600" w:type="dxa"/>
            <w:tcBorders>
              <w:top w:val="single" w:color="D9E1DF" w:sz="4" w:space="0"/>
              <w:left w:val="single" w:color="D9E1DF" w:sz="4" w:space="0"/>
              <w:bottom w:val="single" w:color="D9E1DF" w:sz="4" w:space="0"/>
              <w:right w:val="single" w:color="D9E1DF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CDE9C4">
            <w:pPr>
              <w:spacing w:after="60"/>
            </w:pPr>
            <w:r>
              <w:rPr>
                <w:rFonts w:ascii="Arial" w:hAnsi="Arial" w:eastAsia="Arial" w:cs="Arial"/>
                <w:color w:val="56655F"/>
                <w:sz w:val="16"/>
                <w:szCs w:val="16"/>
              </w:rPr>
              <w:t>Not applicable (concept paper)</w:t>
            </w:r>
          </w:p>
        </w:tc>
        <w:tc>
          <w:tcPr>
            <w:tcW w:w="2898" w:type="dxa"/>
            <w:tcBorders>
              <w:top w:val="single" w:color="D9E1DF" w:sz="4" w:space="0"/>
              <w:left w:val="single" w:color="D9E1DF" w:sz="4" w:space="0"/>
              <w:bottom w:val="single" w:color="D9E1DF" w:sz="4" w:space="0"/>
              <w:right w:val="single" w:color="D9E1DF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CD0592">
            <w:pPr>
              <w:spacing w:after="60"/>
            </w:pPr>
            <w:r>
              <w:rPr>
                <w:rFonts w:ascii="Arial" w:hAnsi="Arial" w:eastAsia="Arial" w:cs="Arial"/>
                <w:sz w:val="16"/>
                <w:szCs w:val="16"/>
              </w:rPr>
              <w:t>No SOTA claim. Sets the agenda that RadFM, BiomedGPT and Merlin later follow, and raises validation and regulation challenges.</w:t>
            </w:r>
          </w:p>
        </w:tc>
      </w:tr>
    </w:tbl>
    <w:p w14:paraId="4B2DF10F">
      <w:pPr>
        <w:spacing w:before="80"/>
      </w:pPr>
    </w:p>
    <w:sectPr>
      <w:footerReference r:id="rId3" w:type="default"/>
      <w:pgSz w:w="16838" w:h="11906" w:orient="landscape"/>
      <w:pgMar w:top="720" w:right="720" w:bottom="720" w:left="72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0D530C">
    <w:pPr>
      <w:jc w:val="right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220" w:hanging="18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300" w:hanging="260"/>
      </w:pPr>
      <w:rPr>
        <w:b/>
        <w:bCs/>
        <w:color w:val="0F6B63"/>
      </w:r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7BA36F8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pPr>
      <w:spacing w:after="120"/>
      <w:outlineLvl w:val="0"/>
    </w:pPr>
    <w:rPr>
      <w:rFonts w:ascii="Arial" w:hAnsi="Arial" w:eastAsia="Arial" w:cs="Arial"/>
      <w:b/>
      <w:bCs/>
      <w:color w:val="15211F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00"/>
      <w:outlineLvl w:val="1"/>
    </w:pPr>
    <w:rPr>
      <w:rFonts w:ascii="Arial" w:hAnsi="Arial" w:eastAsia="Arial" w:cs="Arial"/>
      <w:b/>
      <w:bCs/>
      <w:color w:val="0F6B63"/>
      <w:sz w:val="24"/>
      <w:szCs w:val="24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9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4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5">
    <w:name w:val="Hyperlink"/>
    <w:unhideWhenUsed/>
    <w:uiPriority w:val="99"/>
    <w:rPr>
      <w:color w:val="0563C1"/>
      <w:u w:val="single"/>
    </w:rPr>
  </w:style>
  <w:style w:type="paragraph" w:styleId="16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7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8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2166</Words>
  <Characters>12137</Characters>
  <TotalTime>6</TotalTime>
  <ScaleCrop>false</ScaleCrop>
  <LinksUpToDate>false</LinksUpToDate>
  <CharactersWithSpaces>14109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2026-09-26T18:06:00Z</dcterms:created>
  <dc:creator>Un-named</dc:creator>
  <cp:lastModifiedBy>TANA BALLOVE_3830</cp:lastModifiedBy>
  <dcterms:modified xsi:type="dcterms:W3CDTF">2026-09-26T18:19:29Z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eyJoZGlkIjoiYmYyZjk1NWJkZGVlYTVhOWE2ZjA4NjI5MzhjMzNlMTMiLCJ1c2VySWQiOiI1Njc0MzI5ODA4MzUifQ==</vt:lpwstr>
  </property>
  <property fmtid="{D5CDD505-2E9C-101B-9397-08002B2CF9AE}" pid="3" name="KSOProductBuildVer">
    <vt:lpwstr>1033-12.1.0.28485</vt:lpwstr>
  </property>
  <property fmtid="{D5CDD505-2E9C-101B-9397-08002B2CF9AE}" pid="4" name="ICV">
    <vt:lpwstr>52F3EED3101541FBB7EA3C8A2D6470C8_12</vt:lpwstr>
  </property>
</Properties>
</file>