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89AFB8" w14:textId="77777777" w:rsidR="00011A73" w:rsidRDefault="00AB4CF9" w:rsidP="008D47E9">
      <w:pPr>
        <w:jc w:val="center"/>
        <w:rPr>
          <w:b/>
        </w:rPr>
      </w:pPr>
      <w:r>
        <w:rPr>
          <w:b/>
        </w:rPr>
        <w:t>Is a</w:t>
      </w:r>
      <w:r w:rsidR="00B527DB">
        <w:rPr>
          <w:b/>
        </w:rPr>
        <w:t xml:space="preserve"> </w:t>
      </w:r>
      <w:r w:rsidR="00B527DB">
        <w:rPr>
          <w:b/>
          <w:i/>
        </w:rPr>
        <w:t>get</w:t>
      </w:r>
      <w:r>
        <w:rPr>
          <w:b/>
        </w:rPr>
        <w:t xml:space="preserve"> required</w:t>
      </w:r>
      <w:r w:rsidR="00B527DB">
        <w:rPr>
          <w:b/>
          <w:i/>
        </w:rPr>
        <w:t xml:space="preserve"> </w:t>
      </w:r>
      <w:r w:rsidR="004D0EE9">
        <w:rPr>
          <w:b/>
        </w:rPr>
        <w:t>following the conclusion of</w:t>
      </w:r>
      <w:r w:rsidR="00B527DB">
        <w:rPr>
          <w:b/>
        </w:rPr>
        <w:t xml:space="preserve"> non-halachic marriages?</w:t>
      </w:r>
    </w:p>
    <w:p w14:paraId="4626F378" w14:textId="10DA28E4" w:rsidR="00AB4CF9" w:rsidRDefault="008D47E9" w:rsidP="008D47E9">
      <w:pPr>
        <w:jc w:val="both"/>
      </w:pPr>
      <w:r>
        <w:t>The issue of whether</w:t>
      </w:r>
      <w:r w:rsidR="00271ADE">
        <w:t xml:space="preserve"> a </w:t>
      </w:r>
      <w:r w:rsidR="00271ADE">
        <w:rPr>
          <w:i/>
        </w:rPr>
        <w:t>get</w:t>
      </w:r>
      <w:r w:rsidR="000A2F59">
        <w:rPr>
          <w:i/>
        </w:rPr>
        <w:t xml:space="preserve"> </w:t>
      </w:r>
      <w:r w:rsidR="000A2F59">
        <w:rPr>
          <w:iCs/>
        </w:rPr>
        <w:t>is required</w:t>
      </w:r>
      <w:r w:rsidR="00271ADE">
        <w:t xml:space="preserve"> </w:t>
      </w:r>
      <w:r w:rsidR="00A449F6">
        <w:t xml:space="preserve">to dissolve </w:t>
      </w:r>
      <w:r w:rsidR="000A2F59">
        <w:t xml:space="preserve">a </w:t>
      </w:r>
      <w:r w:rsidR="00271ADE">
        <w:t xml:space="preserve">non-halachic marriage is one that has become more </w:t>
      </w:r>
      <w:r>
        <w:t>widespread</w:t>
      </w:r>
      <w:r w:rsidR="00271ADE">
        <w:t xml:space="preserve"> in recent years</w:t>
      </w:r>
      <w:r w:rsidR="00A449F6">
        <w:t>;</w:t>
      </w:r>
      <w:r w:rsidR="00271ADE">
        <w:t xml:space="preserve"> civil and non-halachic marriages in both Israel and abroad </w:t>
      </w:r>
      <w:r>
        <w:t xml:space="preserve">are now </w:t>
      </w:r>
      <w:r w:rsidR="00271ADE">
        <w:t>more commonplace</w:t>
      </w:r>
      <w:r w:rsidR="00AB4CF9">
        <w:t>.</w:t>
      </w:r>
      <w:r w:rsidR="00271ADE">
        <w:rPr>
          <w:rStyle w:val="FootnoteReference"/>
        </w:rPr>
        <w:footnoteReference w:id="1"/>
      </w:r>
      <w:r w:rsidR="00271ADE">
        <w:t xml:space="preserve"> </w:t>
      </w:r>
      <w:r w:rsidR="00AB4CF9">
        <w:t>When a marriage</w:t>
      </w:r>
      <w:r w:rsidR="00DD1FBA">
        <w:t xml:space="preserve"> that was not grounded in the halachic process</w:t>
      </w:r>
      <w:r w:rsidR="00AB4CF9">
        <w:t xml:space="preserve"> breaks down, the question is raised as to whether a halachically recognised marriage existed at any point to </w:t>
      </w:r>
      <w:r w:rsidR="00DD1FBA">
        <w:t>the</w:t>
      </w:r>
      <w:r w:rsidR="00AB4CF9">
        <w:t xml:space="preserve"> extent that a </w:t>
      </w:r>
      <w:r w:rsidR="00AB4CF9">
        <w:rPr>
          <w:i/>
        </w:rPr>
        <w:t>get</w:t>
      </w:r>
      <w:r w:rsidR="00AB4CF9">
        <w:t xml:space="preserve"> would be needed</w:t>
      </w:r>
      <w:r w:rsidR="00271ADE">
        <w:t xml:space="preserve">. </w:t>
      </w:r>
    </w:p>
    <w:p w14:paraId="2CF31419" w14:textId="686C3C91" w:rsidR="00271ADE" w:rsidRDefault="00AB4CF9" w:rsidP="00047763">
      <w:pPr>
        <w:jc w:val="both"/>
        <w:rPr>
          <w:i/>
          <w:iCs/>
          <w:u w:val="single"/>
        </w:rPr>
      </w:pPr>
      <w:r>
        <w:t>Specifically, does either</w:t>
      </w:r>
      <w:r w:rsidR="00544C6C">
        <w:t xml:space="preserve"> the marriage ceremony or the couple subsequently living together as man an</w:t>
      </w:r>
      <w:r>
        <w:t>d wife constitute</w:t>
      </w:r>
      <w:r w:rsidR="00544C6C">
        <w:t xml:space="preserve"> </w:t>
      </w:r>
      <w:r>
        <w:rPr>
          <w:i/>
        </w:rPr>
        <w:t>kiddushin</w:t>
      </w:r>
      <w:r w:rsidR="00544C6C">
        <w:t xml:space="preserve"> that engenders the requirement for a </w:t>
      </w:r>
      <w:r w:rsidR="00544C6C">
        <w:rPr>
          <w:i/>
        </w:rPr>
        <w:t>get</w:t>
      </w:r>
      <w:r w:rsidR="008D47E9">
        <w:t>.</w:t>
      </w:r>
      <w:r w:rsidR="00544C6C">
        <w:t xml:space="preserve"> </w:t>
      </w:r>
      <w:r w:rsidR="00271ADE">
        <w:t>Below we will</w:t>
      </w:r>
      <w:r w:rsidR="00A449F6">
        <w:t xml:space="preserve"> present</w:t>
      </w:r>
      <w:r w:rsidR="00271ADE">
        <w:t xml:space="preserve"> the </w:t>
      </w:r>
      <w:r w:rsidR="00271ADE" w:rsidRPr="00096EDE">
        <w:rPr>
          <w:i/>
          <w:iCs/>
        </w:rPr>
        <w:t>s</w:t>
      </w:r>
      <w:r w:rsidRPr="00096EDE">
        <w:rPr>
          <w:i/>
          <w:iCs/>
        </w:rPr>
        <w:t>ugya</w:t>
      </w:r>
      <w:r>
        <w:t xml:space="preserve"> </w:t>
      </w:r>
      <w:r w:rsidR="008D47E9">
        <w:t>dealing</w:t>
      </w:r>
      <w:r>
        <w:t xml:space="preserve"> with this issue, initially focusing on the couple’s cohabitation and then on </w:t>
      </w:r>
      <w:r w:rsidR="00A449F6">
        <w:t xml:space="preserve">the </w:t>
      </w:r>
      <w:r>
        <w:t>wedding ceremony</w:t>
      </w:r>
      <w:r w:rsidR="008D47E9">
        <w:t xml:space="preserve"> itself</w:t>
      </w:r>
      <w:r>
        <w:t>.</w:t>
      </w:r>
    </w:p>
    <w:p w14:paraId="641B6D55" w14:textId="4B422C52" w:rsidR="008D47E9" w:rsidRPr="00716CB3" w:rsidRDefault="008D47E9" w:rsidP="008A641F">
      <w:pPr>
        <w:jc w:val="both"/>
        <w:rPr>
          <w:b/>
          <w:bCs/>
          <w:sz w:val="24"/>
          <w:szCs w:val="24"/>
        </w:rPr>
      </w:pPr>
      <w:r w:rsidRPr="00716CB3">
        <w:rPr>
          <w:b/>
          <w:bCs/>
          <w:sz w:val="24"/>
          <w:szCs w:val="24"/>
        </w:rPr>
        <w:t>Halachic Significance of Cohabitation</w:t>
      </w:r>
    </w:p>
    <w:p w14:paraId="0456E0F9" w14:textId="77777777" w:rsidR="00D553EE" w:rsidRDefault="00D553EE" w:rsidP="008A641F">
      <w:pPr>
        <w:jc w:val="both"/>
        <w:rPr>
          <w:b/>
        </w:rPr>
      </w:pPr>
      <w:r>
        <w:rPr>
          <w:b/>
        </w:rPr>
        <w:t>Background</w:t>
      </w:r>
    </w:p>
    <w:p w14:paraId="1401546D" w14:textId="1AD10C55" w:rsidR="00271ADE" w:rsidRDefault="00AD0BC3" w:rsidP="008D47E9">
      <w:pPr>
        <w:jc w:val="both"/>
      </w:pPr>
      <w:r>
        <w:t>If</w:t>
      </w:r>
      <w:r w:rsidR="00271ADE">
        <w:t xml:space="preserve"> the initial marriage</w:t>
      </w:r>
      <w:r w:rsidR="00CD0EEA">
        <w:t xml:space="preserve"> ceremony</w:t>
      </w:r>
      <w:r w:rsidR="00271ADE">
        <w:t xml:space="preserve"> of the people in question does not bear any halachic legitimacy (we will revisit this assumption later with regards to</w:t>
      </w:r>
      <w:r>
        <w:t xml:space="preserve"> both civil marriages</w:t>
      </w:r>
      <w:r w:rsidR="00CD0EEA">
        <w:t xml:space="preserve"> and</w:t>
      </w:r>
      <w:r w:rsidR="00271ADE">
        <w:t xml:space="preserve"> ‘Jewish’ non-halachic marriages), the first question to be asked is: what is the basis to assume a marriage in the first instance, which </w:t>
      </w:r>
      <w:r w:rsidR="008D47E9">
        <w:t xml:space="preserve">would lead to a </w:t>
      </w:r>
      <w:r w:rsidR="00271ADE">
        <w:t xml:space="preserve">necessity for a </w:t>
      </w:r>
      <w:r w:rsidR="00271ADE">
        <w:rPr>
          <w:i/>
        </w:rPr>
        <w:t>get</w:t>
      </w:r>
      <w:r w:rsidR="00271ADE" w:rsidRPr="00271ADE">
        <w:t>?</w:t>
      </w:r>
    </w:p>
    <w:p w14:paraId="12109445" w14:textId="240B2325" w:rsidR="00271ADE" w:rsidRDefault="00271ADE" w:rsidP="00047763">
      <w:pPr>
        <w:jc w:val="both"/>
      </w:pPr>
      <w:r>
        <w:t xml:space="preserve">The </w:t>
      </w:r>
      <w:r w:rsidRPr="00096EDE">
        <w:rPr>
          <w:i/>
          <w:iCs/>
        </w:rPr>
        <w:t>Mishna</w:t>
      </w:r>
      <w:r>
        <w:t xml:space="preserve"> in </w:t>
      </w:r>
      <w:r w:rsidRPr="008D47E9">
        <w:t>Gittin</w:t>
      </w:r>
      <w:r>
        <w:rPr>
          <w:rStyle w:val="FootnoteReference"/>
        </w:rPr>
        <w:footnoteReference w:id="2"/>
      </w:r>
      <w:r>
        <w:t xml:space="preserve"> brings a </w:t>
      </w:r>
      <w:r w:rsidRPr="00096EDE">
        <w:rPr>
          <w:i/>
          <w:iCs/>
        </w:rPr>
        <w:t>machlokes</w:t>
      </w:r>
      <w:r>
        <w:t xml:space="preserve"> betwe</w:t>
      </w:r>
      <w:r w:rsidR="007C1895">
        <w:t xml:space="preserve">en </w:t>
      </w:r>
      <w:r w:rsidR="007C1895" w:rsidRPr="00975D47">
        <w:t>Beis Hillel and Beis Shammai</w:t>
      </w:r>
      <w:r w:rsidR="007C1895">
        <w:t xml:space="preserve"> in the case of a divorced couple that are seen ‘lying together in an inn’; </w:t>
      </w:r>
      <w:r w:rsidR="007C1895" w:rsidRPr="00975D47">
        <w:t>Beis Shammai</w:t>
      </w:r>
      <w:r w:rsidR="007C1895">
        <w:t xml:space="preserve"> hold that a second </w:t>
      </w:r>
      <w:r w:rsidR="007C1895">
        <w:rPr>
          <w:i/>
        </w:rPr>
        <w:t>get</w:t>
      </w:r>
      <w:r w:rsidR="007C1895">
        <w:t xml:space="preserve"> is not needed </w:t>
      </w:r>
      <w:r w:rsidR="00502168">
        <w:t>whilst</w:t>
      </w:r>
      <w:r w:rsidR="008F3D6F">
        <w:t xml:space="preserve"> </w:t>
      </w:r>
      <w:r w:rsidR="008F3D6F" w:rsidRPr="008D47E9">
        <w:t>Beis Hillel</w:t>
      </w:r>
      <w:r w:rsidR="008F3D6F">
        <w:t xml:space="preserve"> hold that it is</w:t>
      </w:r>
      <w:r w:rsidR="007C1895">
        <w:t xml:space="preserve">. The </w:t>
      </w:r>
      <w:r w:rsidR="00595209">
        <w:rPr>
          <w:i/>
          <w:iCs/>
        </w:rPr>
        <w:t>g</w:t>
      </w:r>
      <w:r w:rsidR="007C1895" w:rsidRPr="00096EDE">
        <w:rPr>
          <w:i/>
          <w:iCs/>
        </w:rPr>
        <w:t>em</w:t>
      </w:r>
      <w:r w:rsidR="00502168">
        <w:rPr>
          <w:i/>
          <w:iCs/>
        </w:rPr>
        <w:t>a</w:t>
      </w:r>
      <w:r w:rsidR="007C1895" w:rsidRPr="00096EDE">
        <w:rPr>
          <w:i/>
          <w:iCs/>
        </w:rPr>
        <w:t>ra</w:t>
      </w:r>
      <w:r w:rsidR="007C1895">
        <w:rPr>
          <w:rStyle w:val="FootnoteReference"/>
        </w:rPr>
        <w:footnoteReference w:id="3"/>
      </w:r>
      <w:r w:rsidR="007C1895">
        <w:t xml:space="preserve"> brings two options </w:t>
      </w:r>
      <w:r w:rsidR="00AD0BC3">
        <w:t>as to the basis of this dispute</w:t>
      </w:r>
      <w:r w:rsidR="007C1895">
        <w:t xml:space="preserve">. The first assumes that the pair were actually seen to have relations. The question </w:t>
      </w:r>
      <w:r w:rsidR="0099584C">
        <w:t xml:space="preserve">then </w:t>
      </w:r>
      <w:r w:rsidR="007C1895">
        <w:t>relate</w:t>
      </w:r>
      <w:r w:rsidR="0099584C">
        <w:t>s</w:t>
      </w:r>
      <w:r w:rsidR="007C1895">
        <w:t xml:space="preserve"> to a person’s mind-set when they </w:t>
      </w:r>
      <w:r w:rsidR="008F3D6F">
        <w:t>cohabit</w:t>
      </w:r>
      <w:r w:rsidR="007C1895">
        <w:t xml:space="preserve"> – do they do so for the sake of marriage</w:t>
      </w:r>
      <w:r w:rsidR="007C1895">
        <w:rPr>
          <w:rStyle w:val="FootnoteReference"/>
        </w:rPr>
        <w:footnoteReference w:id="4"/>
      </w:r>
      <w:r w:rsidR="007C1895">
        <w:t xml:space="preserve"> or not? </w:t>
      </w:r>
      <w:r w:rsidR="007C1895" w:rsidRPr="008D47E9">
        <w:t>Beis Hillel</w:t>
      </w:r>
      <w:r w:rsidR="007C1895">
        <w:t xml:space="preserve"> </w:t>
      </w:r>
      <w:r w:rsidR="009679C7">
        <w:t>hold that when one cohabits</w:t>
      </w:r>
      <w:r w:rsidR="008D47E9">
        <w:t>,</w:t>
      </w:r>
      <w:r w:rsidR="009679C7">
        <w:t xml:space="preserve"> it is done with the intention of marriage</w:t>
      </w:r>
      <w:r w:rsidR="008D47E9">
        <w:t xml:space="preserve"> and thus there is a </w:t>
      </w:r>
      <w:r w:rsidR="007C1895">
        <w:t>requirement for a new get</w:t>
      </w:r>
      <w:r w:rsidR="00047763">
        <w:t>. This is the concept of ‘</w:t>
      </w:r>
      <w:r w:rsidR="00047763">
        <w:rPr>
          <w:i/>
          <w:iCs/>
        </w:rPr>
        <w:t xml:space="preserve">chazaka ein adam oseh b’ilaso b’ilas z’nus’, </w:t>
      </w:r>
      <w:r w:rsidR="00047763">
        <w:t>meaning that it is assumed that a couple would not cohabitate outside of the context of marriage</w:t>
      </w:r>
      <w:r w:rsidR="00047763" w:rsidRPr="00047763">
        <w:t>.</w:t>
      </w:r>
      <w:r w:rsidR="00047763" w:rsidRPr="003319A4">
        <w:rPr>
          <w:rStyle w:val="FootnoteReference"/>
        </w:rPr>
        <w:footnoteReference w:id="5"/>
      </w:r>
      <w:r w:rsidR="007C1895" w:rsidRPr="003319A4">
        <w:t xml:space="preserve"> </w:t>
      </w:r>
      <w:r w:rsidR="00047763" w:rsidRPr="003319A4">
        <w:t>H</w:t>
      </w:r>
      <w:r w:rsidR="00047763">
        <w:t xml:space="preserve">owever, </w:t>
      </w:r>
      <w:r w:rsidR="007C1895" w:rsidRPr="00975D47">
        <w:t>Beis Shammai</w:t>
      </w:r>
      <w:r w:rsidR="007C1895">
        <w:t xml:space="preserve"> hold</w:t>
      </w:r>
      <w:r w:rsidR="00047763">
        <w:t xml:space="preserve"> that</w:t>
      </w:r>
      <w:r w:rsidR="009679C7">
        <w:t xml:space="preserve"> </w:t>
      </w:r>
      <w:r w:rsidR="00047763">
        <w:t xml:space="preserve">cohabitation does not indicate any intention for </w:t>
      </w:r>
      <w:r w:rsidR="007C1895">
        <w:t>marriage</w:t>
      </w:r>
      <w:r w:rsidR="0099584C">
        <w:t>.</w:t>
      </w:r>
    </w:p>
    <w:p w14:paraId="378F0D4C" w14:textId="74C726C8" w:rsidR="009679C7" w:rsidRPr="00B779AC" w:rsidRDefault="007C1895" w:rsidP="00BD5002">
      <w:pPr>
        <w:jc w:val="both"/>
      </w:pPr>
      <w:r>
        <w:t xml:space="preserve">The second explanation for the </w:t>
      </w:r>
      <w:r w:rsidRPr="00096EDE">
        <w:rPr>
          <w:i/>
          <w:iCs/>
        </w:rPr>
        <w:t>mac</w:t>
      </w:r>
      <w:r w:rsidR="008F3D6F" w:rsidRPr="00096EDE">
        <w:rPr>
          <w:i/>
          <w:iCs/>
        </w:rPr>
        <w:t>hlokes</w:t>
      </w:r>
      <w:r w:rsidR="008F3D6F">
        <w:t xml:space="preserve"> assumes that</w:t>
      </w:r>
      <w:r>
        <w:t xml:space="preserve"> only </w:t>
      </w:r>
      <w:r>
        <w:rPr>
          <w:i/>
        </w:rPr>
        <w:t>yichud</w:t>
      </w:r>
      <w:r>
        <w:t xml:space="preserve"> was </w:t>
      </w:r>
      <w:r w:rsidR="008F3D6F">
        <w:t>witnessed</w:t>
      </w:r>
      <w:r w:rsidR="00A449F6">
        <w:t>.</w:t>
      </w:r>
      <w:r w:rsidR="00047763">
        <w:t xml:space="preserve"> </w:t>
      </w:r>
      <w:r w:rsidR="009679C7">
        <w:t>D</w:t>
      </w:r>
      <w:r>
        <w:t xml:space="preserve">o we </w:t>
      </w:r>
      <w:r w:rsidR="009679C7">
        <w:t xml:space="preserve">then </w:t>
      </w:r>
      <w:r>
        <w:t xml:space="preserve">say that once </w:t>
      </w:r>
      <w:r w:rsidRPr="008F3D6F">
        <w:rPr>
          <w:i/>
        </w:rPr>
        <w:t>eidim</w:t>
      </w:r>
      <w:r>
        <w:t xml:space="preserve"> have seen </w:t>
      </w:r>
      <w:r w:rsidRPr="008F3D6F">
        <w:rPr>
          <w:i/>
        </w:rPr>
        <w:t>yichud</w:t>
      </w:r>
      <w:r>
        <w:t xml:space="preserve">, </w:t>
      </w:r>
      <w:r w:rsidR="009679C7">
        <w:t xml:space="preserve">we can </w:t>
      </w:r>
      <w:r w:rsidR="0036314C">
        <w:t xml:space="preserve">assume that the pair have had </w:t>
      </w:r>
      <w:r w:rsidR="008F3D6F">
        <w:t xml:space="preserve">relations </w:t>
      </w:r>
      <w:r>
        <w:t>(</w:t>
      </w:r>
      <w:r w:rsidR="0067205F">
        <w:t xml:space="preserve">known as </w:t>
      </w:r>
      <w:r>
        <w:rPr>
          <w:i/>
        </w:rPr>
        <w:t>hein hein e</w:t>
      </w:r>
      <w:r w:rsidR="0036314C">
        <w:rPr>
          <w:i/>
        </w:rPr>
        <w:t>i</w:t>
      </w:r>
      <w:r>
        <w:rPr>
          <w:i/>
        </w:rPr>
        <w:t>dei yichud hein hein e</w:t>
      </w:r>
      <w:r w:rsidR="0036314C">
        <w:rPr>
          <w:i/>
        </w:rPr>
        <w:t>i</w:t>
      </w:r>
      <w:r>
        <w:rPr>
          <w:i/>
        </w:rPr>
        <w:t>dei bi</w:t>
      </w:r>
      <w:r w:rsidR="0036314C">
        <w:rPr>
          <w:i/>
        </w:rPr>
        <w:t>’</w:t>
      </w:r>
      <w:r>
        <w:rPr>
          <w:i/>
        </w:rPr>
        <w:t>ah</w:t>
      </w:r>
      <w:r w:rsidR="0067205F">
        <w:rPr>
          <w:i/>
        </w:rPr>
        <w:t xml:space="preserve">, </w:t>
      </w:r>
      <w:r w:rsidR="0067205F" w:rsidRPr="0067205F">
        <w:rPr>
          <w:iCs/>
        </w:rPr>
        <w:t>testimony of</w:t>
      </w:r>
      <w:r w:rsidR="0067205F">
        <w:rPr>
          <w:i/>
        </w:rPr>
        <w:t xml:space="preserve"> yichud </w:t>
      </w:r>
      <w:r w:rsidR="0067205F" w:rsidRPr="0067205F">
        <w:rPr>
          <w:iCs/>
        </w:rPr>
        <w:t>is equivalent to that of relations</w:t>
      </w:r>
      <w:r>
        <w:t>)</w:t>
      </w:r>
      <w:r w:rsidR="00E21E84">
        <w:t>,</w:t>
      </w:r>
      <w:r>
        <w:t xml:space="preserve"> or </w:t>
      </w:r>
      <w:r w:rsidR="008B280A">
        <w:t xml:space="preserve">do we </w:t>
      </w:r>
      <w:r w:rsidR="0036314C">
        <w:t>not assume this way</w:t>
      </w:r>
      <w:r w:rsidR="008F3D6F">
        <w:t>?</w:t>
      </w:r>
      <w:r w:rsidR="008B280A">
        <w:t xml:space="preserve"> </w:t>
      </w:r>
      <w:r w:rsidR="008B280A" w:rsidRPr="0036314C">
        <w:t>Beis Hillel</w:t>
      </w:r>
      <w:r w:rsidR="008B280A">
        <w:t xml:space="preserve"> hold the former, hence </w:t>
      </w:r>
      <w:r w:rsidR="008B280A" w:rsidRPr="008F3D6F">
        <w:rPr>
          <w:i/>
        </w:rPr>
        <w:t>eidei yichud</w:t>
      </w:r>
      <w:r w:rsidR="008B280A">
        <w:t xml:space="preserve"> </w:t>
      </w:r>
      <w:r w:rsidR="009679C7">
        <w:t xml:space="preserve">alone are enough to create a </w:t>
      </w:r>
      <w:r w:rsidR="008B280A">
        <w:t>second marriage and therefore a second divorce is needed, whereas</w:t>
      </w:r>
      <w:r w:rsidR="00662D52">
        <w:t xml:space="preserve"> </w:t>
      </w:r>
      <w:r w:rsidR="00662D52" w:rsidRPr="00975D47">
        <w:t>Beis Shammai</w:t>
      </w:r>
      <w:r w:rsidR="00662D52">
        <w:t xml:space="preserve"> disagree and hold that there is no</w:t>
      </w:r>
      <w:r w:rsidR="008F3D6F">
        <w:t xml:space="preserve"> new</w:t>
      </w:r>
      <w:r w:rsidR="00662D52">
        <w:t xml:space="preserve"> marriage.</w:t>
      </w:r>
      <w:r w:rsidR="0036314C">
        <w:t xml:space="preserve"> </w:t>
      </w:r>
      <w:r w:rsidR="00BD5002">
        <w:t>Even a</w:t>
      </w:r>
      <w:r w:rsidR="0036314C">
        <w:t xml:space="preserve">ccording to this approach, Beis Hillel assume that should relations </w:t>
      </w:r>
      <w:r w:rsidR="0036314C">
        <w:lastRenderedPageBreak/>
        <w:t xml:space="preserve">have taken place, this is assumed to be equivalent to marriage (due to the </w:t>
      </w:r>
      <w:r w:rsidR="0036314C">
        <w:rPr>
          <w:i/>
          <w:iCs/>
        </w:rPr>
        <w:t>chazaka</w:t>
      </w:r>
      <w:r w:rsidR="0036314C">
        <w:t xml:space="preserve"> mentioned </w:t>
      </w:r>
      <w:r w:rsidR="00BD5002">
        <w:t>in the first explanation</w:t>
      </w:r>
      <w:r w:rsidR="0036314C">
        <w:t>).</w:t>
      </w:r>
    </w:p>
    <w:p w14:paraId="05FDE871" w14:textId="77777777" w:rsidR="00D553EE" w:rsidRDefault="00D553EE" w:rsidP="004D0DA4">
      <w:pPr>
        <w:jc w:val="both"/>
        <w:rPr>
          <w:b/>
        </w:rPr>
      </w:pPr>
      <w:r>
        <w:rPr>
          <w:b/>
        </w:rPr>
        <w:t xml:space="preserve">How do we </w:t>
      </w:r>
      <w:r w:rsidRPr="00096EDE">
        <w:rPr>
          <w:b/>
          <w:i/>
          <w:iCs/>
        </w:rPr>
        <w:t>pasken</w:t>
      </w:r>
      <w:r>
        <w:rPr>
          <w:b/>
        </w:rPr>
        <w:t>?</w:t>
      </w:r>
    </w:p>
    <w:p w14:paraId="78CAE3A1" w14:textId="6373C45D" w:rsidR="00D553EE" w:rsidRDefault="00D553EE" w:rsidP="00B779AC">
      <w:pPr>
        <w:jc w:val="both"/>
      </w:pPr>
      <w:r>
        <w:t xml:space="preserve">Unsurprisingly, we </w:t>
      </w:r>
      <w:r w:rsidRPr="00096EDE">
        <w:rPr>
          <w:i/>
          <w:iCs/>
        </w:rPr>
        <w:t>pasken</w:t>
      </w:r>
      <w:r>
        <w:t xml:space="preserve"> like </w:t>
      </w:r>
      <w:r w:rsidRPr="00975D47">
        <w:t>Beis Hillel</w:t>
      </w:r>
      <w:r w:rsidR="0036314C">
        <w:t xml:space="preserve"> on both</w:t>
      </w:r>
      <w:r>
        <w:t xml:space="preserve"> issues discussed above</w:t>
      </w:r>
      <w:r w:rsidR="000A2F59">
        <w:t>.</w:t>
      </w:r>
      <w:r>
        <w:t xml:space="preserve"> </w:t>
      </w:r>
      <w:r w:rsidR="000A2F59">
        <w:t>W</w:t>
      </w:r>
      <w:r>
        <w:t>e hold that</w:t>
      </w:r>
      <w:r w:rsidR="004E2CB7">
        <w:t xml:space="preserve"> there is a </w:t>
      </w:r>
      <w:r w:rsidR="004E2CB7" w:rsidRPr="008F3D6F">
        <w:rPr>
          <w:i/>
        </w:rPr>
        <w:t>chazaka</w:t>
      </w:r>
      <w:r w:rsidR="0036314C">
        <w:rPr>
          <w:i/>
        </w:rPr>
        <w:t xml:space="preserve"> ein adam oseh b’ilaso b</w:t>
      </w:r>
      <w:r w:rsidRPr="008F3D6F">
        <w:rPr>
          <w:i/>
        </w:rPr>
        <w:t>’ilas z</w:t>
      </w:r>
      <w:r w:rsidR="0036314C">
        <w:rPr>
          <w:i/>
        </w:rPr>
        <w:t>’</w:t>
      </w:r>
      <w:r w:rsidRPr="008F3D6F">
        <w:rPr>
          <w:i/>
        </w:rPr>
        <w:t>nus</w:t>
      </w:r>
      <w:r w:rsidR="000E369B">
        <w:rPr>
          <w:rStyle w:val="FootnoteReference"/>
        </w:rPr>
        <w:footnoteReference w:id="6"/>
      </w:r>
      <w:r w:rsidR="00BA4CC2">
        <w:t xml:space="preserve"> (hereafter ‘the </w:t>
      </w:r>
      <w:r w:rsidR="00BA4CC2" w:rsidRPr="00096EDE">
        <w:rPr>
          <w:i/>
          <w:iCs/>
        </w:rPr>
        <w:t>chazaka</w:t>
      </w:r>
      <w:r w:rsidR="00BA4CC2">
        <w:t>’)</w:t>
      </w:r>
      <w:r>
        <w:t xml:space="preserve"> and that </w:t>
      </w:r>
      <w:r w:rsidRPr="008F3D6F">
        <w:rPr>
          <w:i/>
        </w:rPr>
        <w:t>hein hein e</w:t>
      </w:r>
      <w:r w:rsidR="0036314C">
        <w:rPr>
          <w:i/>
        </w:rPr>
        <w:t>i</w:t>
      </w:r>
      <w:r w:rsidRPr="008F3D6F">
        <w:rPr>
          <w:i/>
        </w:rPr>
        <w:t>dei yichud hein hein e</w:t>
      </w:r>
      <w:r w:rsidR="0036314C">
        <w:rPr>
          <w:i/>
        </w:rPr>
        <w:t>i</w:t>
      </w:r>
      <w:r w:rsidRPr="008F3D6F">
        <w:rPr>
          <w:i/>
        </w:rPr>
        <w:t>dei biah</w:t>
      </w:r>
      <w:r w:rsidR="000E369B">
        <w:t>.</w:t>
      </w:r>
      <w:r w:rsidR="00B779AC" w:rsidRPr="00B779AC">
        <w:rPr>
          <w:rStyle w:val="FootnoteReference"/>
        </w:rPr>
        <w:t xml:space="preserve"> </w:t>
      </w:r>
      <w:r w:rsidR="00B779AC">
        <w:rPr>
          <w:rStyle w:val="FootnoteReference"/>
        </w:rPr>
        <w:footnoteReference w:id="7"/>
      </w:r>
      <w:r w:rsidR="000E369B">
        <w:t xml:space="preserve"> Yet, in terms of the </w:t>
      </w:r>
      <w:r w:rsidR="00BA4CC2">
        <w:t>former</w:t>
      </w:r>
      <w:r w:rsidR="000E369B">
        <w:t xml:space="preserve">, the extent to which we apply this </w:t>
      </w:r>
      <w:r w:rsidR="000E369B" w:rsidRPr="00096EDE">
        <w:rPr>
          <w:i/>
          <w:iCs/>
        </w:rPr>
        <w:t>chazaka</w:t>
      </w:r>
      <w:r w:rsidR="000E369B">
        <w:t xml:space="preserve"> is</w:t>
      </w:r>
      <w:r w:rsidR="009679C7">
        <w:t xml:space="preserve"> subject to</w:t>
      </w:r>
      <w:r w:rsidR="000E369B">
        <w:t xml:space="preserve"> a </w:t>
      </w:r>
      <w:r w:rsidR="000E369B" w:rsidRPr="00096EDE">
        <w:rPr>
          <w:i/>
          <w:iCs/>
        </w:rPr>
        <w:t>machlokes</w:t>
      </w:r>
      <w:r w:rsidR="00FF4120">
        <w:t>.</w:t>
      </w:r>
    </w:p>
    <w:p w14:paraId="1A8B9A9E" w14:textId="0E871655" w:rsidR="000E369B" w:rsidRDefault="00BA4CC2" w:rsidP="00DE780E">
      <w:pPr>
        <w:jc w:val="both"/>
      </w:pPr>
      <w:r>
        <w:t>The</w:t>
      </w:r>
      <w:r w:rsidRPr="00975D47">
        <w:t xml:space="preserve"> Rashba</w:t>
      </w:r>
      <w:r>
        <w:rPr>
          <w:rStyle w:val="FootnoteReference"/>
        </w:rPr>
        <w:footnoteReference w:id="8"/>
      </w:r>
      <w:r>
        <w:t xml:space="preserve"> explains that we only apply the </w:t>
      </w:r>
      <w:r w:rsidRPr="008F3D6F">
        <w:rPr>
          <w:i/>
        </w:rPr>
        <w:t>chazaka</w:t>
      </w:r>
      <w:r>
        <w:t xml:space="preserve"> whe</w:t>
      </w:r>
      <w:r w:rsidR="005A7F60">
        <w:t>n</w:t>
      </w:r>
      <w:r>
        <w:t xml:space="preserve"> there is a realistic </w:t>
      </w:r>
      <w:r w:rsidR="008F3D6F">
        <w:t>basis</w:t>
      </w:r>
      <w:r>
        <w:t xml:space="preserve"> to assume that </w:t>
      </w:r>
      <w:r w:rsidRPr="008F3D6F">
        <w:rPr>
          <w:i/>
        </w:rPr>
        <w:t>kiddushin</w:t>
      </w:r>
      <w:r>
        <w:t xml:space="preserve"> is on the cards</w:t>
      </w:r>
      <w:r w:rsidR="001E0BD7">
        <w:t>,</w:t>
      </w:r>
      <w:r>
        <w:t xml:space="preserve"> </w:t>
      </w:r>
      <w:r w:rsidR="009679C7">
        <w:t xml:space="preserve">enabling </w:t>
      </w:r>
      <w:r w:rsidR="008F3D6F">
        <w:t>us to interpret the</w:t>
      </w:r>
      <w:r>
        <w:t xml:space="preserve"> </w:t>
      </w:r>
      <w:r w:rsidRPr="008F3D6F">
        <w:rPr>
          <w:i/>
        </w:rPr>
        <w:t>bi</w:t>
      </w:r>
      <w:r w:rsidR="00DE780E">
        <w:rPr>
          <w:i/>
        </w:rPr>
        <w:t>’</w:t>
      </w:r>
      <w:r w:rsidRPr="008F3D6F">
        <w:rPr>
          <w:i/>
        </w:rPr>
        <w:t>ah</w:t>
      </w:r>
      <w:r>
        <w:t xml:space="preserve"> accordingly. This include</w:t>
      </w:r>
      <w:r w:rsidR="00607FC7">
        <w:t xml:space="preserve">s a couple who have had </w:t>
      </w:r>
      <w:r w:rsidR="00607FC7" w:rsidRPr="008F3D6F">
        <w:rPr>
          <w:i/>
        </w:rPr>
        <w:t>eirusin</w:t>
      </w:r>
      <w:r w:rsidR="00607FC7">
        <w:t xml:space="preserve"> or are formerly divorced</w:t>
      </w:r>
      <w:r w:rsidR="00E21E84">
        <w:t xml:space="preserve"> and</w:t>
      </w:r>
      <w:r w:rsidR="008F3D6F">
        <w:t xml:space="preserve"> are therefore more likely to become intimate once </w:t>
      </w:r>
      <w:r w:rsidR="00E21E84">
        <w:t>again</w:t>
      </w:r>
      <w:r w:rsidR="00607FC7">
        <w:t xml:space="preserve">. However, in the case of a normal </w:t>
      </w:r>
      <w:r w:rsidR="00607FC7" w:rsidRPr="008F3D6F">
        <w:rPr>
          <w:i/>
        </w:rPr>
        <w:t>p’nuya</w:t>
      </w:r>
      <w:r w:rsidR="00607FC7">
        <w:t xml:space="preserve"> where they were not discussing </w:t>
      </w:r>
      <w:r w:rsidR="00607FC7" w:rsidRPr="008F3D6F">
        <w:rPr>
          <w:i/>
        </w:rPr>
        <w:t>kiddushin</w:t>
      </w:r>
      <w:r w:rsidR="00607FC7">
        <w:t xml:space="preserve"> beforehand</w:t>
      </w:r>
      <w:r w:rsidR="00EE304E">
        <w:t>,</w:t>
      </w:r>
      <w:r w:rsidR="00607FC7">
        <w:rPr>
          <w:rStyle w:val="FootnoteReference"/>
        </w:rPr>
        <w:footnoteReference w:id="9"/>
      </w:r>
      <w:r w:rsidR="00607FC7">
        <w:t xml:space="preserve"> one can safely assume that the </w:t>
      </w:r>
      <w:r w:rsidR="00EE304E" w:rsidRPr="00EE304E">
        <w:rPr>
          <w:i/>
        </w:rPr>
        <w:t>biah/</w:t>
      </w:r>
      <w:r w:rsidR="00607FC7" w:rsidRPr="00EE304E">
        <w:rPr>
          <w:i/>
        </w:rPr>
        <w:t>b’ilah</w:t>
      </w:r>
      <w:r w:rsidR="00607FC7">
        <w:t xml:space="preserve"> taking place </w:t>
      </w:r>
      <w:r w:rsidR="00607FC7" w:rsidRPr="00EE304E">
        <w:rPr>
          <w:u w:val="single"/>
        </w:rPr>
        <w:t>is</w:t>
      </w:r>
      <w:r w:rsidR="00DE780E" w:rsidRPr="00DE780E">
        <w:t xml:space="preserve"> a</w:t>
      </w:r>
      <w:r w:rsidR="00607FC7">
        <w:rPr>
          <w:i/>
        </w:rPr>
        <w:t xml:space="preserve"> </w:t>
      </w:r>
      <w:r w:rsidR="00607FC7" w:rsidRPr="00EE304E">
        <w:rPr>
          <w:i/>
        </w:rPr>
        <w:t>b’ilas</w:t>
      </w:r>
      <w:r w:rsidR="00607FC7">
        <w:t xml:space="preserve"> </w:t>
      </w:r>
      <w:r w:rsidR="00607FC7" w:rsidRPr="00EE304E">
        <w:rPr>
          <w:i/>
        </w:rPr>
        <w:t>z</w:t>
      </w:r>
      <w:r w:rsidR="00DE780E">
        <w:rPr>
          <w:i/>
        </w:rPr>
        <w:t>’</w:t>
      </w:r>
      <w:r w:rsidR="00607FC7" w:rsidRPr="00EE304E">
        <w:rPr>
          <w:i/>
        </w:rPr>
        <w:t>nus</w:t>
      </w:r>
      <w:r w:rsidR="009679C7">
        <w:t xml:space="preserve">, and there is therefore no </w:t>
      </w:r>
      <w:r w:rsidR="009679C7">
        <w:rPr>
          <w:i/>
          <w:iCs/>
        </w:rPr>
        <w:t>chas</w:t>
      </w:r>
      <w:r w:rsidR="00097527">
        <w:rPr>
          <w:i/>
          <w:iCs/>
        </w:rPr>
        <w:t>h</w:t>
      </w:r>
      <w:r w:rsidR="009679C7">
        <w:rPr>
          <w:i/>
          <w:iCs/>
        </w:rPr>
        <w:t>ash kiddushin</w:t>
      </w:r>
      <w:r w:rsidR="00DE780E">
        <w:rPr>
          <w:i/>
          <w:iCs/>
        </w:rPr>
        <w:t xml:space="preserve"> </w:t>
      </w:r>
      <w:r w:rsidR="00DE780E">
        <w:t xml:space="preserve">(no worry that </w:t>
      </w:r>
      <w:r w:rsidR="00DE780E">
        <w:rPr>
          <w:i/>
          <w:iCs/>
        </w:rPr>
        <w:t>kiddushin</w:t>
      </w:r>
      <w:r w:rsidR="00DE780E">
        <w:t xml:space="preserve"> has taken place)</w:t>
      </w:r>
      <w:r w:rsidR="009679C7">
        <w:rPr>
          <w:i/>
          <w:iCs/>
        </w:rPr>
        <w:t>.</w:t>
      </w:r>
    </w:p>
    <w:p w14:paraId="78B74E13" w14:textId="407EDD72" w:rsidR="00607FC7" w:rsidRPr="00D54E8C" w:rsidRDefault="00607FC7" w:rsidP="007A743E">
      <w:pPr>
        <w:jc w:val="both"/>
      </w:pPr>
      <w:r>
        <w:t xml:space="preserve">The </w:t>
      </w:r>
      <w:r w:rsidRPr="00975D47">
        <w:t>Rambam</w:t>
      </w:r>
      <w:r>
        <w:rPr>
          <w:rStyle w:val="FootnoteReference"/>
        </w:rPr>
        <w:footnoteReference w:id="10"/>
      </w:r>
      <w:r>
        <w:t xml:space="preserve"> also states that the application of the </w:t>
      </w:r>
      <w:r w:rsidRPr="00302246">
        <w:rPr>
          <w:i/>
        </w:rPr>
        <w:t>chazaka</w:t>
      </w:r>
      <w:r>
        <w:t xml:space="preserve"> is limited. He first quotes the view of the </w:t>
      </w:r>
      <w:r w:rsidR="00A36B91" w:rsidRPr="00975D47">
        <w:t>G</w:t>
      </w:r>
      <w:r w:rsidRPr="00975D47">
        <w:t>e’onim</w:t>
      </w:r>
      <w:r>
        <w:t xml:space="preserve"> who state that the </w:t>
      </w:r>
      <w:r w:rsidRPr="00302246">
        <w:rPr>
          <w:i/>
        </w:rPr>
        <w:t>chazaka</w:t>
      </w:r>
      <w:r>
        <w:t xml:space="preserve"> should apply to all women who h</w:t>
      </w:r>
      <w:r w:rsidR="002463BE">
        <w:t xml:space="preserve">ave relations </w:t>
      </w:r>
      <w:r w:rsidR="007A743E">
        <w:t xml:space="preserve">in a case with </w:t>
      </w:r>
      <w:r w:rsidR="002463BE">
        <w:t xml:space="preserve">sufficient </w:t>
      </w:r>
      <w:r w:rsidR="002463BE">
        <w:rPr>
          <w:i/>
        </w:rPr>
        <w:t>eidus</w:t>
      </w:r>
      <w:r w:rsidR="007A743E">
        <w:rPr>
          <w:iCs/>
        </w:rPr>
        <w:t xml:space="preserve"> that they did so</w:t>
      </w:r>
      <w:r>
        <w:t>. The Rambam himself states tha</w:t>
      </w:r>
      <w:r w:rsidR="00A36B91">
        <w:t>t ‘this</w:t>
      </w:r>
      <w:r>
        <w:t xml:space="preserve"> view </w:t>
      </w:r>
      <w:r w:rsidR="00A36B91">
        <w:t>is</w:t>
      </w:r>
      <w:r>
        <w:t xml:space="preserve"> very far away from the </w:t>
      </w:r>
      <w:r w:rsidRPr="00565A46">
        <w:rPr>
          <w:i/>
        </w:rPr>
        <w:t>darchei hora’ah</w:t>
      </w:r>
      <w:r>
        <w:t xml:space="preserve"> </w:t>
      </w:r>
      <w:r w:rsidR="00BD5002">
        <w:t xml:space="preserve">(correct ways of teaching) </w:t>
      </w:r>
      <w:r>
        <w:t xml:space="preserve">and it is not fit to rely on </w:t>
      </w:r>
      <w:r w:rsidR="00A36B91">
        <w:t>it</w:t>
      </w:r>
      <w:r>
        <w:t>’. Rather</w:t>
      </w:r>
      <w:r w:rsidR="00A36B91">
        <w:t xml:space="preserve">, he holds that the </w:t>
      </w:r>
      <w:r w:rsidR="00A36B91" w:rsidRPr="00565A46">
        <w:rPr>
          <w:i/>
        </w:rPr>
        <w:t>chazaka</w:t>
      </w:r>
      <w:r>
        <w:t xml:space="preserve"> is to be applied in limited circumstances and </w:t>
      </w:r>
      <w:r w:rsidR="00A36B91">
        <w:t xml:space="preserve">in most </w:t>
      </w:r>
      <w:r w:rsidR="00565A46">
        <w:t>cases</w:t>
      </w:r>
      <w:r>
        <w:t xml:space="preserve"> it is safe to assume that </w:t>
      </w:r>
      <w:r w:rsidR="00BD5002">
        <w:t xml:space="preserve">a </w:t>
      </w:r>
      <w:r w:rsidRPr="00565A46">
        <w:rPr>
          <w:i/>
        </w:rPr>
        <w:t>b’ilah</w:t>
      </w:r>
      <w:r>
        <w:t xml:space="preserve"> that takes place </w:t>
      </w:r>
      <w:r w:rsidRPr="00A36B91">
        <w:rPr>
          <w:u w:val="single"/>
        </w:rPr>
        <w:t>is</w:t>
      </w:r>
      <w:r>
        <w:t xml:space="preserve"> </w:t>
      </w:r>
      <w:r w:rsidR="00BD5002">
        <w:t xml:space="preserve">a </w:t>
      </w:r>
      <w:r w:rsidR="00BD5002">
        <w:rPr>
          <w:i/>
        </w:rPr>
        <w:t>b’</w:t>
      </w:r>
      <w:r w:rsidR="00DE439B">
        <w:rPr>
          <w:i/>
        </w:rPr>
        <w:t>il</w:t>
      </w:r>
      <w:r w:rsidR="00BD5002">
        <w:rPr>
          <w:i/>
        </w:rPr>
        <w:t>a</w:t>
      </w:r>
      <w:r w:rsidR="00DE439B">
        <w:rPr>
          <w:i/>
        </w:rPr>
        <w:t>s</w:t>
      </w:r>
      <w:r w:rsidR="00DE439B" w:rsidRPr="00565A46">
        <w:rPr>
          <w:i/>
        </w:rPr>
        <w:t xml:space="preserve"> </w:t>
      </w:r>
      <w:r w:rsidRPr="00565A46">
        <w:rPr>
          <w:i/>
        </w:rPr>
        <w:t>z</w:t>
      </w:r>
      <w:r w:rsidR="00BD5002">
        <w:rPr>
          <w:i/>
        </w:rPr>
        <w:t>’</w:t>
      </w:r>
      <w:r w:rsidRPr="00565A46">
        <w:rPr>
          <w:i/>
        </w:rPr>
        <w:t>nus</w:t>
      </w:r>
      <w:r>
        <w:t>.</w:t>
      </w:r>
      <w:r w:rsidR="00FD6C80">
        <w:rPr>
          <w:rStyle w:val="FootnoteReference"/>
        </w:rPr>
        <w:footnoteReference w:id="11"/>
      </w:r>
      <w:r w:rsidR="004E2CB7">
        <w:t xml:space="preserve"> (Indeed, the </w:t>
      </w:r>
      <w:r w:rsidR="004E2CB7" w:rsidRPr="00975D47">
        <w:t>Rambam</w:t>
      </w:r>
      <w:r w:rsidR="004E2CB7">
        <w:t xml:space="preserve"> elsewhere</w:t>
      </w:r>
      <w:r w:rsidR="004E2CB7">
        <w:rPr>
          <w:rStyle w:val="FootnoteReference"/>
        </w:rPr>
        <w:footnoteReference w:id="12"/>
      </w:r>
      <w:r w:rsidR="004E2CB7">
        <w:t xml:space="preserve"> states explicitly that the </w:t>
      </w:r>
      <w:r w:rsidR="004E2CB7" w:rsidRPr="00096EDE">
        <w:rPr>
          <w:i/>
          <w:iCs/>
        </w:rPr>
        <w:t>chazaka</w:t>
      </w:r>
      <w:r w:rsidR="004E2CB7">
        <w:t xml:space="preserve"> only applies to </w:t>
      </w:r>
      <w:r w:rsidR="004E2CB7">
        <w:rPr>
          <w:i/>
        </w:rPr>
        <w:t>k’sheirim</w:t>
      </w:r>
      <w:r w:rsidR="005A7F60">
        <w:rPr>
          <w:i/>
        </w:rPr>
        <w:t>.</w:t>
      </w:r>
      <w:r w:rsidR="004E2CB7">
        <w:t>)</w:t>
      </w:r>
      <w:r>
        <w:t xml:space="preserve"> The </w:t>
      </w:r>
      <w:r w:rsidRPr="00975D47">
        <w:t>Magid Mishna</w:t>
      </w:r>
      <w:r>
        <w:rPr>
          <w:rStyle w:val="FootnoteReference"/>
        </w:rPr>
        <w:footnoteReference w:id="13"/>
      </w:r>
      <w:r w:rsidR="00565A46">
        <w:t xml:space="preserve"> says that the </w:t>
      </w:r>
      <w:r w:rsidR="00565A46" w:rsidRPr="00975D47">
        <w:t>Rambam’s</w:t>
      </w:r>
      <w:r>
        <w:t xml:space="preserve"> view is the same as that of the </w:t>
      </w:r>
      <w:r w:rsidRPr="00975D47">
        <w:t>Rashba</w:t>
      </w:r>
      <w:r w:rsidR="004E2CB7">
        <w:t xml:space="preserve">.  </w:t>
      </w:r>
      <w:r w:rsidR="007A743E">
        <w:t xml:space="preserve">Rav Ovadiah Yosef says </w:t>
      </w:r>
      <w:r w:rsidR="00A36B91">
        <w:t>that this view</w:t>
      </w:r>
      <w:r w:rsidR="004F723D">
        <w:t xml:space="preserve"> represents the </w:t>
      </w:r>
      <w:r w:rsidR="00A36B91">
        <w:t>opinion</w:t>
      </w:r>
      <w:r w:rsidR="004F723D">
        <w:t xml:space="preserve"> of the majority of the </w:t>
      </w:r>
      <w:r w:rsidR="004F723D" w:rsidRPr="00975D47">
        <w:t>Rishonim</w:t>
      </w:r>
      <w:r>
        <w:t>.</w:t>
      </w:r>
      <w:r w:rsidR="004F723D">
        <w:rPr>
          <w:rStyle w:val="FootnoteReference"/>
        </w:rPr>
        <w:footnoteReference w:id="14"/>
      </w:r>
      <w:r w:rsidR="00D54E8C">
        <w:t xml:space="preserve"> </w:t>
      </w:r>
    </w:p>
    <w:p w14:paraId="4AC7B651" w14:textId="77777777" w:rsidR="00716CB3" w:rsidRDefault="00FD6C80" w:rsidP="008A641F">
      <w:pPr>
        <w:jc w:val="both"/>
      </w:pPr>
      <w:r>
        <w:t xml:space="preserve">The </w:t>
      </w:r>
      <w:r w:rsidRPr="00975D47">
        <w:t>Shulchan Aruch</w:t>
      </w:r>
      <w:r>
        <w:rPr>
          <w:rStyle w:val="FootnoteReference"/>
        </w:rPr>
        <w:footnoteReference w:id="15"/>
      </w:r>
      <w:r>
        <w:t xml:space="preserve"> </w:t>
      </w:r>
      <w:r w:rsidRPr="00096EDE">
        <w:rPr>
          <w:i/>
          <w:iCs/>
        </w:rPr>
        <w:t>paskens</w:t>
      </w:r>
      <w:r>
        <w:t xml:space="preserve"> like the Rambam </w:t>
      </w:r>
      <w:r w:rsidR="008C1F51">
        <w:t xml:space="preserve">in limiting the application of the </w:t>
      </w:r>
      <w:r w:rsidR="008C1F51" w:rsidRPr="00565A46">
        <w:rPr>
          <w:i/>
        </w:rPr>
        <w:t>chazaka</w:t>
      </w:r>
      <w:r w:rsidR="008C1F51">
        <w:t xml:space="preserve"> and this appears to be the prevalent view. It is worth mentioning the </w:t>
      </w:r>
      <w:r w:rsidR="005A7F60">
        <w:t xml:space="preserve">position </w:t>
      </w:r>
      <w:r w:rsidR="008C1F51">
        <w:t xml:space="preserve">of </w:t>
      </w:r>
      <w:r w:rsidR="008C1F51" w:rsidRPr="00975D47">
        <w:t xml:space="preserve">R’ Ovadia </w:t>
      </w:r>
      <w:r w:rsidR="00DE439B" w:rsidRPr="00975D47">
        <w:t>Yosef</w:t>
      </w:r>
      <w:r w:rsidR="008C1F51">
        <w:rPr>
          <w:rStyle w:val="FootnoteReference"/>
        </w:rPr>
        <w:footnoteReference w:id="16"/>
      </w:r>
      <w:r w:rsidR="008C1F51">
        <w:t xml:space="preserve"> </w:t>
      </w:r>
      <w:r w:rsidR="00B133C2">
        <w:t>who states that these days</w:t>
      </w:r>
      <w:r w:rsidR="001E0BD7">
        <w:t>, since</w:t>
      </w:r>
      <w:r w:rsidR="00B133C2">
        <w:t xml:space="preserve"> we do not tend to be </w:t>
      </w:r>
      <w:r w:rsidR="007A743E">
        <w:rPr>
          <w:i/>
        </w:rPr>
        <w:t>m’</w:t>
      </w:r>
      <w:r w:rsidR="00B133C2" w:rsidRPr="00565A46">
        <w:rPr>
          <w:i/>
        </w:rPr>
        <w:t>kadesh</w:t>
      </w:r>
      <w:r w:rsidR="00B133C2">
        <w:t xml:space="preserve"> women by means of </w:t>
      </w:r>
      <w:r w:rsidR="00B133C2" w:rsidRPr="00565A46">
        <w:rPr>
          <w:i/>
        </w:rPr>
        <w:t>bi</w:t>
      </w:r>
      <w:r w:rsidR="007A743E">
        <w:rPr>
          <w:i/>
        </w:rPr>
        <w:t>’</w:t>
      </w:r>
      <w:r w:rsidR="00B133C2" w:rsidRPr="00565A46">
        <w:rPr>
          <w:i/>
        </w:rPr>
        <w:t>ah</w:t>
      </w:r>
      <w:r w:rsidR="00B133C2">
        <w:t xml:space="preserve"> </w:t>
      </w:r>
      <w:r w:rsidR="000F0465">
        <w:rPr>
          <w:rStyle w:val="FootnoteReference"/>
        </w:rPr>
        <w:footnoteReference w:id="17"/>
      </w:r>
      <w:r w:rsidR="007A743E">
        <w:t xml:space="preserve"> and</w:t>
      </w:r>
      <w:r w:rsidR="000F0465">
        <w:t xml:space="preserve"> only </w:t>
      </w:r>
      <w:r w:rsidR="000F0465" w:rsidRPr="00096EDE">
        <w:rPr>
          <w:i/>
          <w:iCs/>
        </w:rPr>
        <w:t>talmidei chachamim</w:t>
      </w:r>
      <w:r w:rsidR="000F0465">
        <w:t xml:space="preserve"> are</w:t>
      </w:r>
    </w:p>
    <w:p w14:paraId="2B3B3553" w14:textId="6AAA13C5" w:rsidR="000F0465" w:rsidRDefault="000F0465" w:rsidP="008A641F">
      <w:pPr>
        <w:jc w:val="both"/>
      </w:pPr>
      <w:r>
        <w:lastRenderedPageBreak/>
        <w:t xml:space="preserve"> aware </w:t>
      </w:r>
      <w:r w:rsidR="00DE439B">
        <w:t xml:space="preserve">that </w:t>
      </w:r>
      <w:r>
        <w:t xml:space="preserve">this is </w:t>
      </w:r>
      <w:r w:rsidR="00DE439B">
        <w:t xml:space="preserve">indeed a </w:t>
      </w:r>
      <w:r>
        <w:t xml:space="preserve">way to </w:t>
      </w:r>
      <w:r w:rsidR="00565A46">
        <w:t>form a</w:t>
      </w:r>
      <w:r>
        <w:t xml:space="preserve"> marriage, there is even less </w:t>
      </w:r>
      <w:r w:rsidR="00DE439B">
        <w:t xml:space="preserve">basis </w:t>
      </w:r>
      <w:r>
        <w:t xml:space="preserve">to suggest that </w:t>
      </w:r>
      <w:r w:rsidRPr="00565A46">
        <w:rPr>
          <w:i/>
        </w:rPr>
        <w:t>bi</w:t>
      </w:r>
      <w:r w:rsidR="007A743E">
        <w:rPr>
          <w:i/>
        </w:rPr>
        <w:t>’</w:t>
      </w:r>
      <w:r w:rsidRPr="00565A46">
        <w:rPr>
          <w:i/>
        </w:rPr>
        <w:t>ah</w:t>
      </w:r>
      <w:r>
        <w:t xml:space="preserve"> between two</w:t>
      </w:r>
      <w:r w:rsidR="00565A46">
        <w:t xml:space="preserve"> average</w:t>
      </w:r>
      <w:r>
        <w:t xml:space="preserve"> people was done for the sake of </w:t>
      </w:r>
      <w:r w:rsidRPr="00565A46">
        <w:rPr>
          <w:i/>
        </w:rPr>
        <w:t>kiddushin</w:t>
      </w:r>
      <w:r>
        <w:t>.</w:t>
      </w:r>
      <w:r w:rsidR="00B1334D">
        <w:rPr>
          <w:rStyle w:val="FootnoteReference"/>
        </w:rPr>
        <w:footnoteReference w:id="18"/>
      </w:r>
    </w:p>
    <w:p w14:paraId="197985E6" w14:textId="38AD8882" w:rsidR="00786A95" w:rsidRPr="00786A95" w:rsidRDefault="00786A95" w:rsidP="007A743E">
      <w:pPr>
        <w:jc w:val="both"/>
        <w:rPr>
          <w:i/>
        </w:rPr>
      </w:pPr>
      <w:r>
        <w:t xml:space="preserve">Once we have established that there is a limited scope to the application of the </w:t>
      </w:r>
      <w:r w:rsidRPr="00096EDE">
        <w:rPr>
          <w:i/>
          <w:iCs/>
        </w:rPr>
        <w:t>chazaka</w:t>
      </w:r>
      <w:r>
        <w:t xml:space="preserve"> in ‘normal’ circumstances, the fact that we pasken </w:t>
      </w:r>
      <w:r w:rsidRPr="00E40E3F">
        <w:rPr>
          <w:i/>
        </w:rPr>
        <w:t>hein hein e</w:t>
      </w:r>
      <w:r w:rsidR="007A743E">
        <w:rPr>
          <w:i/>
        </w:rPr>
        <w:t>i</w:t>
      </w:r>
      <w:r w:rsidRPr="00E40E3F">
        <w:rPr>
          <w:i/>
        </w:rPr>
        <w:t>dei yichud hein hein e</w:t>
      </w:r>
      <w:r w:rsidR="007A743E">
        <w:rPr>
          <w:i/>
        </w:rPr>
        <w:t>i</w:t>
      </w:r>
      <w:r w:rsidRPr="00E40E3F">
        <w:rPr>
          <w:i/>
        </w:rPr>
        <w:t>dei biah</w:t>
      </w:r>
      <w:r>
        <w:t xml:space="preserve"> is of less consequence</w:t>
      </w:r>
      <w:r w:rsidR="00E21E84">
        <w:t>.</w:t>
      </w:r>
      <w:r>
        <w:t xml:space="preserve"> </w:t>
      </w:r>
      <w:r w:rsidR="00E21E84">
        <w:t>T</w:t>
      </w:r>
      <w:r>
        <w:t xml:space="preserve">estimony as to the taking place of </w:t>
      </w:r>
      <w:r w:rsidRPr="00E40E3F">
        <w:rPr>
          <w:i/>
        </w:rPr>
        <w:t>yichud</w:t>
      </w:r>
      <w:r>
        <w:t xml:space="preserve"> may, by extension, be testimony as to the </w:t>
      </w:r>
      <w:r w:rsidR="00E40E3F">
        <w:t>taking place</w:t>
      </w:r>
      <w:r>
        <w:t xml:space="preserve"> of </w:t>
      </w:r>
      <w:r w:rsidRPr="00E40E3F">
        <w:rPr>
          <w:i/>
        </w:rPr>
        <w:t>bi</w:t>
      </w:r>
      <w:r w:rsidR="007A743E">
        <w:rPr>
          <w:i/>
        </w:rPr>
        <w:t>’</w:t>
      </w:r>
      <w:r w:rsidRPr="00E40E3F">
        <w:rPr>
          <w:i/>
        </w:rPr>
        <w:t>ah</w:t>
      </w:r>
      <w:r w:rsidR="007A743E">
        <w:t>.</w:t>
      </w:r>
      <w:r>
        <w:t xml:space="preserve"> </w:t>
      </w:r>
      <w:r w:rsidR="007A743E">
        <w:t>H</w:t>
      </w:r>
      <w:r>
        <w:t xml:space="preserve">owever, if that </w:t>
      </w:r>
      <w:r w:rsidRPr="00E40E3F">
        <w:rPr>
          <w:i/>
        </w:rPr>
        <w:t>bi</w:t>
      </w:r>
      <w:r w:rsidR="007A743E">
        <w:rPr>
          <w:i/>
        </w:rPr>
        <w:t>’</w:t>
      </w:r>
      <w:r w:rsidRPr="00E40E3F">
        <w:rPr>
          <w:i/>
        </w:rPr>
        <w:t>ah</w:t>
      </w:r>
      <w:r>
        <w:t xml:space="preserve"> itself is not considered to</w:t>
      </w:r>
      <w:r w:rsidR="007A743E">
        <w:t xml:space="preserve"> have been</w:t>
      </w:r>
      <w:r w:rsidR="00E40E3F">
        <w:t xml:space="preserve"> undertaken</w:t>
      </w:r>
      <w:r>
        <w:t xml:space="preserve"> for the purpose of </w:t>
      </w:r>
      <w:r w:rsidRPr="00E40E3F">
        <w:rPr>
          <w:i/>
        </w:rPr>
        <w:t>kiddushin</w:t>
      </w:r>
      <w:r>
        <w:t xml:space="preserve">, the </w:t>
      </w:r>
      <w:r w:rsidRPr="00E40E3F">
        <w:rPr>
          <w:i/>
        </w:rPr>
        <w:t>eidei yichud</w:t>
      </w:r>
      <w:r>
        <w:t xml:space="preserve"> do not serve to attest to any marriage having been consecrated</w:t>
      </w:r>
      <w:r w:rsidR="0054005D">
        <w:t>.</w:t>
      </w:r>
    </w:p>
    <w:p w14:paraId="66128CBD" w14:textId="77777777" w:rsidR="00D553EE" w:rsidRDefault="00D553EE" w:rsidP="008A641F">
      <w:pPr>
        <w:jc w:val="both"/>
        <w:rPr>
          <w:b/>
        </w:rPr>
      </w:pPr>
      <w:r>
        <w:rPr>
          <w:b/>
        </w:rPr>
        <w:t>Application to Civil/Non-halachic Marriages</w:t>
      </w:r>
    </w:p>
    <w:p w14:paraId="70AE13BC" w14:textId="77F6D703" w:rsidR="00E40E3F" w:rsidRDefault="00E40E3F" w:rsidP="008A641F">
      <w:pPr>
        <w:jc w:val="both"/>
      </w:pPr>
      <w:r>
        <w:t xml:space="preserve">As we have seen above, the </w:t>
      </w:r>
      <w:r w:rsidRPr="00E40E3F">
        <w:rPr>
          <w:i/>
        </w:rPr>
        <w:t>chazaka</w:t>
      </w:r>
      <w:r>
        <w:t xml:space="preserve"> is limited and therefore one would intuitively </w:t>
      </w:r>
      <w:r w:rsidR="00DE439B">
        <w:t>conclude</w:t>
      </w:r>
      <w:r>
        <w:t xml:space="preserve"> that in the case of a regular couple that has a civil ceremony and subsequently live together as man and wife</w:t>
      </w:r>
      <w:r w:rsidR="00866091">
        <w:t>,</w:t>
      </w:r>
      <w:r>
        <w:t xml:space="preserve"> there is simply no point at which </w:t>
      </w:r>
      <w:r>
        <w:rPr>
          <w:i/>
        </w:rPr>
        <w:t>kiddushin</w:t>
      </w:r>
      <w:r>
        <w:t xml:space="preserve"> has taken place. However, this may not be quite so </w:t>
      </w:r>
      <w:r w:rsidR="00CF1E8F">
        <w:t>straightforward.</w:t>
      </w:r>
    </w:p>
    <w:p w14:paraId="613814C5" w14:textId="77777777" w:rsidR="001F1A91" w:rsidRPr="00E40E3F" w:rsidRDefault="001F1A91" w:rsidP="008A641F">
      <w:pPr>
        <w:jc w:val="both"/>
      </w:pPr>
      <w:r w:rsidRPr="003E13DE">
        <w:rPr>
          <w:b/>
        </w:rPr>
        <w:t>The</w:t>
      </w:r>
      <w:r w:rsidR="00277FE5">
        <w:rPr>
          <w:b/>
        </w:rPr>
        <w:t xml:space="preserve"> case and</w:t>
      </w:r>
      <w:r w:rsidRPr="003E13DE">
        <w:rPr>
          <w:b/>
        </w:rPr>
        <w:t xml:space="preserve"> view of the </w:t>
      </w:r>
      <w:r w:rsidRPr="00975D47">
        <w:rPr>
          <w:b/>
        </w:rPr>
        <w:t>Rivash</w:t>
      </w:r>
    </w:p>
    <w:p w14:paraId="3F81C4F9" w14:textId="154B5EB6" w:rsidR="00786A95" w:rsidRDefault="00A00906">
      <w:pPr>
        <w:jc w:val="both"/>
      </w:pPr>
      <w:r>
        <w:t xml:space="preserve">The </w:t>
      </w:r>
      <w:r w:rsidRPr="00975D47">
        <w:t>Rivash</w:t>
      </w:r>
      <w:r>
        <w:rPr>
          <w:rStyle w:val="FootnoteReference"/>
        </w:rPr>
        <w:footnoteReference w:id="19"/>
      </w:r>
      <w:r>
        <w:t xml:space="preserve"> deals with the </w:t>
      </w:r>
      <w:r w:rsidR="003A4D2B">
        <w:t>case of two Marrano Jews from Majorca</w:t>
      </w:r>
      <w:r w:rsidR="007A743E">
        <w:t xml:space="preserve"> who were forced to marry in a c</w:t>
      </w:r>
      <w:r w:rsidR="003A4D2B">
        <w:t>hurch under the auspices of a priest</w:t>
      </w:r>
      <w:r w:rsidR="003319A4">
        <w:t>. (I</w:t>
      </w:r>
      <w:r w:rsidR="00CF1E8F">
        <w:t xml:space="preserve">t is apparent from the </w:t>
      </w:r>
      <w:r w:rsidR="00CF1E8F" w:rsidRPr="00CF1E8F">
        <w:rPr>
          <w:i/>
        </w:rPr>
        <w:t>t’shuva</w:t>
      </w:r>
      <w:r w:rsidR="00CF1E8F">
        <w:t xml:space="preserve"> that no subsequent Jewish wedding ceremony took place</w:t>
      </w:r>
      <w:r w:rsidR="00DD1FBA">
        <w:t>.</w:t>
      </w:r>
      <w:r w:rsidR="00CF1E8F">
        <w:t>)</w:t>
      </w:r>
      <w:r w:rsidR="003A4D2B">
        <w:t xml:space="preserve"> After being married for three months</w:t>
      </w:r>
      <w:r w:rsidR="00023569">
        <w:t>,</w:t>
      </w:r>
      <w:r w:rsidR="003A4D2B">
        <w:t xml:space="preserve"> the husband left his pregnant wife and did not return</w:t>
      </w:r>
      <w:r w:rsidR="00DD1FBA">
        <w:t>.</w:t>
      </w:r>
      <w:r w:rsidR="003A4D2B">
        <w:t xml:space="preserve"> </w:t>
      </w:r>
      <w:r w:rsidR="00DD1FBA">
        <w:t>T</w:t>
      </w:r>
      <w:r w:rsidR="003A4D2B">
        <w:t xml:space="preserve">he question was whether a </w:t>
      </w:r>
      <w:r w:rsidR="003A4D2B">
        <w:rPr>
          <w:i/>
        </w:rPr>
        <w:t>get,</w:t>
      </w:r>
      <w:r w:rsidR="003A4D2B">
        <w:t xml:space="preserve"> apparently </w:t>
      </w:r>
      <w:r w:rsidR="001E0BD7">
        <w:t>unobtainable</w:t>
      </w:r>
      <w:r w:rsidR="003A4D2B">
        <w:t>,</w:t>
      </w:r>
      <w:r w:rsidR="003A4D2B">
        <w:rPr>
          <w:i/>
        </w:rPr>
        <w:t xml:space="preserve"> </w:t>
      </w:r>
      <w:r w:rsidR="003A4D2B">
        <w:t>was needed</w:t>
      </w:r>
      <w:r w:rsidR="00E21E84">
        <w:t>.</w:t>
      </w:r>
      <w:r w:rsidR="000F1240">
        <w:rPr>
          <w:rStyle w:val="FootnoteReference"/>
        </w:rPr>
        <w:footnoteReference w:id="20"/>
      </w:r>
    </w:p>
    <w:p w14:paraId="706E6483" w14:textId="1373A003" w:rsidR="00677898" w:rsidRDefault="00677898" w:rsidP="003319A4">
      <w:pPr>
        <w:jc w:val="both"/>
      </w:pPr>
      <w:r>
        <w:t xml:space="preserve">The </w:t>
      </w:r>
      <w:r w:rsidRPr="00975D47">
        <w:t>Rivash</w:t>
      </w:r>
      <w:r>
        <w:t xml:space="preserve"> first notes that</w:t>
      </w:r>
      <w:r w:rsidR="00023569">
        <w:t xml:space="preserve"> no element of the church ceremony would</w:t>
      </w:r>
      <w:r>
        <w:t xml:space="preserve"> </w:t>
      </w:r>
      <w:r w:rsidR="00023569">
        <w:t>constitute</w:t>
      </w:r>
      <w:r>
        <w:t xml:space="preserve"> </w:t>
      </w:r>
      <w:r w:rsidR="00023569">
        <w:t>a</w:t>
      </w:r>
      <w:r>
        <w:t xml:space="preserve"> </w:t>
      </w:r>
      <w:r w:rsidRPr="00023569">
        <w:rPr>
          <w:i/>
        </w:rPr>
        <w:t>chashash kiddushin</w:t>
      </w:r>
      <w:r>
        <w:t xml:space="preserve">. In terms of the </w:t>
      </w:r>
      <w:r w:rsidRPr="00023569">
        <w:rPr>
          <w:i/>
        </w:rPr>
        <w:t>chazaka</w:t>
      </w:r>
      <w:r>
        <w:t>, he suggests that this is no less than ‘</w:t>
      </w:r>
      <w:r w:rsidRPr="00023569">
        <w:rPr>
          <w:i/>
        </w:rPr>
        <w:t>medaber ima al iskei kiddushin’</w:t>
      </w:r>
      <w:r>
        <w:t xml:space="preserve">, which even the Rambam would agree brings the </w:t>
      </w:r>
      <w:r w:rsidRPr="00023569">
        <w:rPr>
          <w:i/>
        </w:rPr>
        <w:t>chazaka</w:t>
      </w:r>
      <w:r>
        <w:t xml:space="preserve"> into place</w:t>
      </w:r>
      <w:r w:rsidR="00023569">
        <w:rPr>
          <w:rStyle w:val="FootnoteReference"/>
        </w:rPr>
        <w:footnoteReference w:id="21"/>
      </w:r>
      <w:r>
        <w:t xml:space="preserve">. However, he concludes that in this instance a distinction is to be made as follows: </w:t>
      </w:r>
      <w:r w:rsidR="00DD1FBA">
        <w:t>h</w:t>
      </w:r>
      <w:r>
        <w:t xml:space="preserve">ere the couple </w:t>
      </w:r>
      <w:r w:rsidR="00DD1FBA">
        <w:t>were</w:t>
      </w:r>
      <w:r>
        <w:t xml:space="preserve"> married in a church and therefore, regardless of why this was the case, their marriage is not considered to be one </w:t>
      </w:r>
      <w:r w:rsidRPr="00023569">
        <w:rPr>
          <w:i/>
        </w:rPr>
        <w:t>k’das Moshe v’Yisroel</w:t>
      </w:r>
      <w:r>
        <w:t xml:space="preserve">. As such, it would be strange to assume that subsequent </w:t>
      </w:r>
      <w:r w:rsidR="003319A4">
        <w:rPr>
          <w:i/>
        </w:rPr>
        <w:t>b</w:t>
      </w:r>
      <w:r w:rsidRPr="001160FF">
        <w:rPr>
          <w:i/>
        </w:rPr>
        <w:t>’ilos</w:t>
      </w:r>
      <w:r w:rsidR="001160FF">
        <w:t xml:space="preserve"> were for the sake of </w:t>
      </w:r>
      <w:r w:rsidR="001160FF" w:rsidRPr="001160FF">
        <w:rPr>
          <w:i/>
        </w:rPr>
        <w:t>k</w:t>
      </w:r>
      <w:r w:rsidRPr="001160FF">
        <w:rPr>
          <w:i/>
        </w:rPr>
        <w:t>iddushin</w:t>
      </w:r>
      <w:r>
        <w:t xml:space="preserve">. </w:t>
      </w:r>
      <w:r w:rsidR="00710FE4">
        <w:t xml:space="preserve">He therefore states that even according to the </w:t>
      </w:r>
      <w:r w:rsidR="00710FE4" w:rsidRPr="00975D47">
        <w:t>Ge’onim</w:t>
      </w:r>
      <w:r w:rsidR="00710FE4">
        <w:t xml:space="preserve"> who the </w:t>
      </w:r>
      <w:r w:rsidR="00710FE4" w:rsidRPr="003319A4">
        <w:t>Rambam</w:t>
      </w:r>
      <w:r w:rsidR="00710FE4">
        <w:t xml:space="preserve"> cites and dismisses, in this case, they would not apply the </w:t>
      </w:r>
      <w:r w:rsidR="00710FE4" w:rsidRPr="001160FF">
        <w:rPr>
          <w:i/>
        </w:rPr>
        <w:t>chazaka</w:t>
      </w:r>
      <w:r w:rsidR="00710FE4">
        <w:t>.</w:t>
      </w:r>
      <w:r w:rsidR="00684C2D">
        <w:rPr>
          <w:rStyle w:val="FootnoteReference"/>
        </w:rPr>
        <w:footnoteReference w:id="22"/>
      </w:r>
    </w:p>
    <w:p w14:paraId="5612F08C" w14:textId="5A4FF624" w:rsidR="003A4D2B" w:rsidRDefault="00677898" w:rsidP="003319A4">
      <w:pPr>
        <w:jc w:val="both"/>
      </w:pPr>
      <w:r>
        <w:t>Moreover, he argues that</w:t>
      </w:r>
      <w:r w:rsidR="00773B42">
        <w:t xml:space="preserve"> in the case of these Marranos,</w:t>
      </w:r>
      <w:r>
        <w:t xml:space="preserve"> there was no </w:t>
      </w:r>
      <w:r w:rsidRPr="003319A4">
        <w:rPr>
          <w:i/>
          <w:iCs/>
        </w:rPr>
        <w:t>mikvah</w:t>
      </w:r>
      <w:r>
        <w:t xml:space="preserve"> in the vicinity</w:t>
      </w:r>
      <w:r w:rsidR="00773B42">
        <w:t>.</w:t>
      </w:r>
      <w:r>
        <w:t xml:space="preserve"> </w:t>
      </w:r>
      <w:r w:rsidR="00773B42">
        <w:t>It is therefore</w:t>
      </w:r>
      <w:r>
        <w:t xml:space="preserve"> safe to assume that the woman is a </w:t>
      </w:r>
      <w:r w:rsidRPr="00773B42">
        <w:rPr>
          <w:i/>
        </w:rPr>
        <w:t>niddah</w:t>
      </w:r>
      <w:r>
        <w:t xml:space="preserve"> </w:t>
      </w:r>
      <w:r w:rsidR="00773B42">
        <w:t>with whom</w:t>
      </w:r>
      <w:r>
        <w:t xml:space="preserve"> there is an </w:t>
      </w:r>
      <w:r w:rsidRPr="00773B42">
        <w:rPr>
          <w:i/>
        </w:rPr>
        <w:t>issur kareis</w:t>
      </w:r>
      <w:r w:rsidR="00773B42">
        <w:t xml:space="preserve"> to have relations.</w:t>
      </w:r>
      <w:r>
        <w:rPr>
          <w:rStyle w:val="FootnoteReference"/>
        </w:rPr>
        <w:footnoteReference w:id="23"/>
      </w:r>
      <w:r>
        <w:t xml:space="preserve"> </w:t>
      </w:r>
      <w:r w:rsidR="00DD1FBA">
        <w:t>I</w:t>
      </w:r>
      <w:r>
        <w:t>t would be odd to suggest that</w:t>
      </w:r>
      <w:r w:rsidR="00773B42">
        <w:t xml:space="preserve"> disregarding this more strict </w:t>
      </w:r>
      <w:r w:rsidR="00773B42" w:rsidRPr="003319A4">
        <w:rPr>
          <w:iCs/>
        </w:rPr>
        <w:t>issue</w:t>
      </w:r>
      <w:r w:rsidR="00773B42">
        <w:t>,</w:t>
      </w:r>
      <w:r>
        <w:t xml:space="preserve"> </w:t>
      </w:r>
      <w:r w:rsidR="00773B42">
        <w:t>the couple would</w:t>
      </w:r>
      <w:r>
        <w:t xml:space="preserve"> nonetheless </w:t>
      </w:r>
      <w:r w:rsidR="00773B42">
        <w:t>be careful to conduct their</w:t>
      </w:r>
      <w:r>
        <w:t xml:space="preserve"> </w:t>
      </w:r>
      <w:r w:rsidRPr="00773B42">
        <w:rPr>
          <w:i/>
        </w:rPr>
        <w:t>b’ila</w:t>
      </w:r>
      <w:r w:rsidR="003319A4">
        <w:rPr>
          <w:i/>
        </w:rPr>
        <w:t>h</w:t>
      </w:r>
      <w:r w:rsidRPr="00773B42">
        <w:rPr>
          <w:i/>
        </w:rPr>
        <w:t xml:space="preserve"> </w:t>
      </w:r>
      <w:r w:rsidR="001E0BD7">
        <w:rPr>
          <w:i/>
        </w:rPr>
        <w:t>‘</w:t>
      </w:r>
      <w:r w:rsidR="003319A4">
        <w:rPr>
          <w:i/>
        </w:rPr>
        <w:t>l’</w:t>
      </w:r>
      <w:r w:rsidRPr="00773B42">
        <w:rPr>
          <w:i/>
        </w:rPr>
        <w:t>sheim kiddushin</w:t>
      </w:r>
      <w:r>
        <w:t xml:space="preserve">’ out of concern for the relatively more lenient prohibition of cohabiting with a </w:t>
      </w:r>
      <w:r w:rsidRPr="00773B42">
        <w:rPr>
          <w:i/>
        </w:rPr>
        <w:t>p’nuya</w:t>
      </w:r>
      <w:r>
        <w:t>.</w:t>
      </w:r>
    </w:p>
    <w:p w14:paraId="2B1487A5" w14:textId="23535F0F" w:rsidR="00097527" w:rsidRPr="003319A4" w:rsidRDefault="000652E0" w:rsidP="003319A4">
      <w:pPr>
        <w:jc w:val="both"/>
      </w:pPr>
      <w:r>
        <w:lastRenderedPageBreak/>
        <w:t xml:space="preserve">The view of the </w:t>
      </w:r>
      <w:r w:rsidRPr="00975D47">
        <w:t>Rivash</w:t>
      </w:r>
      <w:r>
        <w:t xml:space="preserve"> is quoted by the </w:t>
      </w:r>
      <w:r w:rsidRPr="00975D47">
        <w:t>Shulchan Aruch</w:t>
      </w:r>
      <w:r>
        <w:rPr>
          <w:rStyle w:val="FootnoteReference"/>
        </w:rPr>
        <w:footnoteReference w:id="24"/>
      </w:r>
      <w:r>
        <w:t xml:space="preserve"> and </w:t>
      </w:r>
      <w:r w:rsidRPr="00975D47">
        <w:t>Rema</w:t>
      </w:r>
      <w:r>
        <w:rPr>
          <w:rStyle w:val="FootnoteReference"/>
        </w:rPr>
        <w:footnoteReference w:id="25"/>
      </w:r>
      <w:r>
        <w:t xml:space="preserve"> as halachically binding.</w:t>
      </w:r>
      <w:r w:rsidR="00AF266B">
        <w:t xml:space="preserve"> Furthermore, R’ Moshe Feinstein points out that the </w:t>
      </w:r>
      <w:r w:rsidR="00AF266B" w:rsidRPr="003319A4">
        <w:rPr>
          <w:i/>
          <w:iCs/>
        </w:rPr>
        <w:t>hala</w:t>
      </w:r>
      <w:r w:rsidR="00C47C80" w:rsidRPr="003319A4">
        <w:rPr>
          <w:i/>
          <w:iCs/>
        </w:rPr>
        <w:t>cha</w:t>
      </w:r>
      <w:r w:rsidR="00C47C80">
        <w:t xml:space="preserve"> follows the </w:t>
      </w:r>
      <w:r w:rsidR="00C47C80" w:rsidRPr="00975D47">
        <w:t>Rivash</w:t>
      </w:r>
      <w:r w:rsidR="00C47C80" w:rsidRPr="00096EDE">
        <w:rPr>
          <w:i/>
          <w:iCs/>
        </w:rPr>
        <w:t xml:space="preserve"> ‘me’etzem</w:t>
      </w:r>
      <w:r w:rsidR="00AF266B" w:rsidRPr="00096EDE">
        <w:rPr>
          <w:i/>
          <w:iCs/>
        </w:rPr>
        <w:t xml:space="preserve"> hadin’</w:t>
      </w:r>
      <w:r w:rsidR="00AF266B">
        <w:t xml:space="preserve"> and that it</w:t>
      </w:r>
      <w:r w:rsidR="00DE439B">
        <w:t xml:space="preserve"> is</w:t>
      </w:r>
      <w:r w:rsidR="00AF266B">
        <w:t xml:space="preserve"> als</w:t>
      </w:r>
      <w:r w:rsidR="00EF6F79">
        <w:t>o possible that no-one argues with</w:t>
      </w:r>
      <w:r w:rsidR="00AF266B">
        <w:t xml:space="preserve"> him</w:t>
      </w:r>
      <w:r w:rsidR="00FC42B9">
        <w:t>.</w:t>
      </w:r>
      <w:r w:rsidR="00AF266B">
        <w:rPr>
          <w:rStyle w:val="FootnoteReference"/>
        </w:rPr>
        <w:footnoteReference w:id="26"/>
      </w:r>
    </w:p>
    <w:p w14:paraId="1C6553CA" w14:textId="496B0E68" w:rsidR="001F1A91" w:rsidRPr="003E13DE" w:rsidRDefault="001F1A91" w:rsidP="008A641F">
      <w:pPr>
        <w:jc w:val="both"/>
        <w:rPr>
          <w:b/>
        </w:rPr>
      </w:pPr>
      <w:r w:rsidRPr="003E13DE">
        <w:rPr>
          <w:b/>
        </w:rPr>
        <w:t>Application of the Rivash</w:t>
      </w:r>
      <w:r w:rsidR="001160FF">
        <w:rPr>
          <w:b/>
        </w:rPr>
        <w:t xml:space="preserve"> to Instances of Civil Marriage</w:t>
      </w:r>
    </w:p>
    <w:p w14:paraId="764C1C42" w14:textId="77777777" w:rsidR="001F1A91" w:rsidRDefault="00DA7845" w:rsidP="008A641F">
      <w:pPr>
        <w:jc w:val="both"/>
      </w:pPr>
      <w:r>
        <w:t xml:space="preserve">It is clear that the case of the </w:t>
      </w:r>
      <w:r w:rsidRPr="00975D47">
        <w:t>Rivash</w:t>
      </w:r>
      <w:r>
        <w:t xml:space="preserve"> is different to both a wedding conducted under the auspices of non-Orthodox clergymen/women and a civil marriage. In terms of the application of the distinction, this</w:t>
      </w:r>
      <w:r w:rsidR="00152C34">
        <w:t xml:space="preserve"> forms a fundamental basis in the </w:t>
      </w:r>
      <w:r w:rsidR="00152C34" w:rsidRPr="00096EDE">
        <w:rPr>
          <w:i/>
          <w:iCs/>
        </w:rPr>
        <w:t>machlokes</w:t>
      </w:r>
      <w:r w:rsidR="00152C34">
        <w:t xml:space="preserve"> between the contemporary </w:t>
      </w:r>
      <w:r w:rsidR="00152C34" w:rsidRPr="00096EDE">
        <w:rPr>
          <w:i/>
          <w:iCs/>
        </w:rPr>
        <w:t>poskim</w:t>
      </w:r>
      <w:r w:rsidR="00152C34">
        <w:t xml:space="preserve"> about the necessity for a </w:t>
      </w:r>
      <w:r w:rsidR="00152C34">
        <w:rPr>
          <w:i/>
        </w:rPr>
        <w:t xml:space="preserve">get </w:t>
      </w:r>
      <w:r w:rsidR="00152C34">
        <w:t>following a civil marriage,</w:t>
      </w:r>
      <w:r>
        <w:t xml:space="preserve"> </w:t>
      </w:r>
      <w:r w:rsidR="00152C34">
        <w:t xml:space="preserve">often described colloquially as the </w:t>
      </w:r>
      <w:r w:rsidR="00152C34" w:rsidRPr="00096EDE">
        <w:rPr>
          <w:i/>
          <w:iCs/>
        </w:rPr>
        <w:t>machlokes</w:t>
      </w:r>
      <w:r w:rsidR="00152C34">
        <w:t xml:space="preserve"> between</w:t>
      </w:r>
      <w:r>
        <w:t xml:space="preserve"> R’ Henkin and R’ Moshe</w:t>
      </w:r>
      <w:r w:rsidR="00D93306">
        <w:t>.</w:t>
      </w:r>
      <w:r>
        <w:rPr>
          <w:rStyle w:val="FootnoteReference"/>
        </w:rPr>
        <w:footnoteReference w:id="27"/>
      </w:r>
      <w:r w:rsidR="00D93306">
        <w:t xml:space="preserve"> </w:t>
      </w:r>
    </w:p>
    <w:p w14:paraId="60E512CD" w14:textId="71BC1C96" w:rsidR="00D93306" w:rsidRDefault="00D93306" w:rsidP="00A32D5F">
      <w:pPr>
        <w:jc w:val="both"/>
      </w:pPr>
      <w:r>
        <w:t>R’ Moshe</w:t>
      </w:r>
      <w:r>
        <w:rPr>
          <w:rStyle w:val="FootnoteReference"/>
        </w:rPr>
        <w:footnoteReference w:id="28"/>
      </w:r>
      <w:r>
        <w:t xml:space="preserve"> deals with a case </w:t>
      </w:r>
      <w:r w:rsidR="00DD1FBA">
        <w:t>of</w:t>
      </w:r>
      <w:r>
        <w:t xml:space="preserve"> an irreligious couple who got married in a civil ceremony </w:t>
      </w:r>
      <w:r w:rsidR="004B0FAB">
        <w:t xml:space="preserve">and lived </w:t>
      </w:r>
      <w:r w:rsidR="00DE439B">
        <w:t xml:space="preserve">together </w:t>
      </w:r>
      <w:r w:rsidR="004B0FAB">
        <w:t xml:space="preserve">for a number of years, </w:t>
      </w:r>
      <w:r w:rsidR="00DE439B">
        <w:t xml:space="preserve">for some time </w:t>
      </w:r>
      <w:r w:rsidR="001C45AB">
        <w:t>within the Jewish community of</w:t>
      </w:r>
      <w:r w:rsidR="00B050DC">
        <w:t xml:space="preserve"> Los Angeles</w:t>
      </w:r>
      <w:r w:rsidR="004B0FAB">
        <w:t xml:space="preserve"> and </w:t>
      </w:r>
      <w:r w:rsidR="00DE439B">
        <w:t xml:space="preserve">for some time in </w:t>
      </w:r>
      <w:r w:rsidR="004B0FAB">
        <w:t xml:space="preserve">an area with no </w:t>
      </w:r>
      <w:r w:rsidR="00A32D5F">
        <w:t>Jewish</w:t>
      </w:r>
      <w:r w:rsidR="004B0FAB">
        <w:t xml:space="preserve"> community.</w:t>
      </w:r>
      <w:r w:rsidR="00635810">
        <w:t xml:space="preserve"> The couple had children together </w:t>
      </w:r>
      <w:r w:rsidR="00117691">
        <w:t xml:space="preserve">and then </w:t>
      </w:r>
      <w:r w:rsidR="00635810">
        <w:t>separated.</w:t>
      </w:r>
    </w:p>
    <w:p w14:paraId="4F0F2201" w14:textId="3F41BBCB" w:rsidR="00635810" w:rsidRDefault="00635810" w:rsidP="004D0DA4">
      <w:pPr>
        <w:jc w:val="both"/>
      </w:pPr>
      <w:r w:rsidRPr="007A1F37">
        <w:t>R’ Moshe posits</w:t>
      </w:r>
      <w:r>
        <w:t xml:space="preserve"> that it would make sense to try and obtain a </w:t>
      </w:r>
      <w:r w:rsidRPr="00096EDE">
        <w:rPr>
          <w:i/>
          <w:iCs/>
        </w:rPr>
        <w:t>get</w:t>
      </w:r>
      <w:r>
        <w:t xml:space="preserve"> from the husband</w:t>
      </w:r>
      <w:r w:rsidR="007A1F37">
        <w:t>.</w:t>
      </w:r>
      <w:r w:rsidR="00870BC1">
        <w:rPr>
          <w:rStyle w:val="FootnoteReference"/>
        </w:rPr>
        <w:footnoteReference w:id="29"/>
      </w:r>
      <w:r>
        <w:t xml:space="preserve"> This is because the religious neighbours would have thought of the </w:t>
      </w:r>
      <w:r w:rsidR="00DD1FBA">
        <w:t>pair</w:t>
      </w:r>
      <w:r>
        <w:t xml:space="preserve"> to be a regular married couple and therefore c</w:t>
      </w:r>
      <w:r w:rsidR="00DE439B">
        <w:t>ould</w:t>
      </w:r>
      <w:r>
        <w:t xml:space="preserve"> serve as </w:t>
      </w:r>
      <w:r w:rsidRPr="007A1F37">
        <w:rPr>
          <w:i/>
        </w:rPr>
        <w:t>eidim</w:t>
      </w:r>
      <w:r>
        <w:t xml:space="preserve"> to the fact that they lived together. By extension, we could theoretically apply the </w:t>
      </w:r>
      <w:r w:rsidRPr="00096EDE">
        <w:rPr>
          <w:i/>
          <w:iCs/>
        </w:rPr>
        <w:t>chazaka</w:t>
      </w:r>
      <w:r>
        <w:t xml:space="preserve"> and therefore assume that a marriage had taken place, which now requires a </w:t>
      </w:r>
      <w:r>
        <w:rPr>
          <w:i/>
        </w:rPr>
        <w:t>get</w:t>
      </w:r>
      <w:r>
        <w:t>.</w:t>
      </w:r>
      <w:r w:rsidR="009B7EA1">
        <w:t xml:space="preserve"> </w:t>
      </w:r>
      <w:r w:rsidR="009B7EA1" w:rsidRPr="00117691">
        <w:rPr>
          <w:bCs/>
        </w:rPr>
        <w:t>However</w:t>
      </w:r>
      <w:r w:rsidR="009B7EA1">
        <w:t xml:space="preserve">, importantly, he states that that if a </w:t>
      </w:r>
      <w:r w:rsidR="009B7EA1">
        <w:rPr>
          <w:i/>
        </w:rPr>
        <w:t xml:space="preserve">get </w:t>
      </w:r>
      <w:r w:rsidR="009B7EA1">
        <w:t xml:space="preserve">cannot be obtained one can rely on the aforementioned </w:t>
      </w:r>
      <w:r w:rsidR="009B7EA1" w:rsidRPr="00975D47">
        <w:t>Rivash</w:t>
      </w:r>
      <w:r w:rsidR="009B7EA1">
        <w:t xml:space="preserve"> </w:t>
      </w:r>
      <w:r w:rsidR="00DE439B">
        <w:t xml:space="preserve">with regards to </w:t>
      </w:r>
      <w:r w:rsidR="009B7EA1">
        <w:t xml:space="preserve">not applying the </w:t>
      </w:r>
      <w:r w:rsidR="009B7EA1" w:rsidRPr="00096EDE">
        <w:rPr>
          <w:i/>
          <w:iCs/>
        </w:rPr>
        <w:t>chazaka</w:t>
      </w:r>
      <w:r w:rsidR="009B7EA1">
        <w:t xml:space="preserve"> to non-observant Jews. </w:t>
      </w:r>
    </w:p>
    <w:p w14:paraId="129870E9" w14:textId="589C7DB2" w:rsidR="009E10BE" w:rsidRDefault="009B7EA1" w:rsidP="008A641F">
      <w:pPr>
        <w:jc w:val="both"/>
      </w:pPr>
      <w:r>
        <w:t xml:space="preserve">One sees from the approach of R’ Moshe that although the </w:t>
      </w:r>
      <w:r w:rsidRPr="00975D47">
        <w:t>Rivash’s</w:t>
      </w:r>
      <w:r>
        <w:t xml:space="preserve"> circumstances are specific to an extreme case, the </w:t>
      </w:r>
      <w:r w:rsidR="009037F2">
        <w:t>principle can be applied to civil marriage between</w:t>
      </w:r>
      <w:r>
        <w:t xml:space="preserve"> all non-observant Jews. Similar to </w:t>
      </w:r>
      <w:r w:rsidRPr="00975D47">
        <w:t>R’ Ovadia</w:t>
      </w:r>
      <w:r>
        <w:t xml:space="preserve"> cited above, he also notes that a change in circumstances as to people’s morality</w:t>
      </w:r>
      <w:r w:rsidR="00262BC0">
        <w:t xml:space="preserve"> could</w:t>
      </w:r>
      <w:r>
        <w:t xml:space="preserve"> further dilute the possible application of the </w:t>
      </w:r>
      <w:r w:rsidRPr="00096EDE">
        <w:rPr>
          <w:i/>
          <w:iCs/>
        </w:rPr>
        <w:t>chazaka</w:t>
      </w:r>
      <w:r>
        <w:t xml:space="preserve">. </w:t>
      </w:r>
      <w:r w:rsidR="009E10BE">
        <w:t xml:space="preserve">The </w:t>
      </w:r>
      <w:r w:rsidR="009E10BE" w:rsidRPr="00975D47">
        <w:t>S’ridei Eish</w:t>
      </w:r>
      <w:r w:rsidR="009E10BE">
        <w:rPr>
          <w:rStyle w:val="FootnoteReference"/>
        </w:rPr>
        <w:footnoteReference w:id="30"/>
      </w:r>
      <w:r w:rsidR="009E10BE">
        <w:t xml:space="preserve"> quotes </w:t>
      </w:r>
      <w:r w:rsidR="009E10BE" w:rsidRPr="00183B43">
        <w:rPr>
          <w:i/>
        </w:rPr>
        <w:t>machmirim</w:t>
      </w:r>
      <w:r w:rsidR="009E10BE">
        <w:t xml:space="preserve"> who counter this approach being applied to civil marriage, arguing that although people may well be more casual in this sense, they would still not wish to</w:t>
      </w:r>
      <w:r w:rsidR="00DE439B">
        <w:t xml:space="preserve"> actually</w:t>
      </w:r>
      <w:r w:rsidR="009E10BE">
        <w:t xml:space="preserve"> </w:t>
      </w:r>
      <w:r w:rsidR="009E10BE" w:rsidRPr="00183B43">
        <w:rPr>
          <w:i/>
        </w:rPr>
        <w:t>live</w:t>
      </w:r>
      <w:r w:rsidR="009E10BE">
        <w:t xml:space="preserve"> together outside of the context of marriage.</w:t>
      </w:r>
    </w:p>
    <w:p w14:paraId="7D304760" w14:textId="58A1971C" w:rsidR="009B7EA1" w:rsidRDefault="00262BC0" w:rsidP="00A32D5F">
      <w:pPr>
        <w:jc w:val="both"/>
      </w:pPr>
      <w:r>
        <w:t>Even on the off-</w:t>
      </w:r>
      <w:r w:rsidR="009B7EA1">
        <w:t xml:space="preserve">chance that an irreligious couple do intend for their </w:t>
      </w:r>
      <w:r w:rsidR="009B7EA1" w:rsidRPr="007A1F37">
        <w:rPr>
          <w:i/>
        </w:rPr>
        <w:t>b’ilah</w:t>
      </w:r>
      <w:r w:rsidR="009B7EA1">
        <w:t xml:space="preserve"> to be for the sake of </w:t>
      </w:r>
      <w:r w:rsidR="009B7EA1" w:rsidRPr="007A1F37">
        <w:rPr>
          <w:i/>
        </w:rPr>
        <w:t>kiddushin</w:t>
      </w:r>
      <w:r w:rsidR="009B7EA1">
        <w:t xml:space="preserve">, </w:t>
      </w:r>
      <w:r w:rsidR="009E10BE" w:rsidRPr="00975D47">
        <w:t>R’ Ovadia</w:t>
      </w:r>
      <w:r w:rsidR="009B7EA1">
        <w:t xml:space="preserve"> adds, this intention is sufficiently unlikely that we would not </w:t>
      </w:r>
      <w:r w:rsidR="00DE439B">
        <w:t xml:space="preserve">have </w:t>
      </w:r>
      <w:r w:rsidR="009B7EA1">
        <w:t xml:space="preserve">strong </w:t>
      </w:r>
      <w:r w:rsidR="00DE439B">
        <w:t xml:space="preserve">enough </w:t>
      </w:r>
      <w:r w:rsidR="009B7EA1" w:rsidRPr="007A1F37">
        <w:rPr>
          <w:i/>
        </w:rPr>
        <w:t>eidus</w:t>
      </w:r>
      <w:r w:rsidR="009B7EA1">
        <w:t xml:space="preserve"> to suggest </w:t>
      </w:r>
      <w:r w:rsidR="00DE439B">
        <w:t xml:space="preserve">that </w:t>
      </w:r>
      <w:r w:rsidR="009B7EA1" w:rsidRPr="007A1F37">
        <w:rPr>
          <w:i/>
        </w:rPr>
        <w:t>hein hein eidei yichud hein hein eidei biah</w:t>
      </w:r>
      <w:r w:rsidR="007A1F37">
        <w:rPr>
          <w:i/>
        </w:rPr>
        <w:t xml:space="preserve"> </w:t>
      </w:r>
      <w:r w:rsidR="007A1F37">
        <w:t xml:space="preserve">with </w:t>
      </w:r>
      <w:r w:rsidR="00DE439B">
        <w:t xml:space="preserve">the </w:t>
      </w:r>
      <w:r w:rsidR="007A1F37">
        <w:rPr>
          <w:i/>
        </w:rPr>
        <w:t>biah</w:t>
      </w:r>
      <w:r w:rsidR="007A1F37">
        <w:t xml:space="preserve"> being </w:t>
      </w:r>
      <w:r w:rsidR="007A1F37">
        <w:rPr>
          <w:i/>
        </w:rPr>
        <w:t>l’sheim kiddushin</w:t>
      </w:r>
      <w:r w:rsidR="009B7EA1">
        <w:t xml:space="preserve">. </w:t>
      </w:r>
    </w:p>
    <w:p w14:paraId="402F1893" w14:textId="185A7D6E" w:rsidR="008B4D1E" w:rsidRDefault="008B4D1E" w:rsidP="008A641F">
      <w:pPr>
        <w:jc w:val="both"/>
      </w:pPr>
      <w:r>
        <w:lastRenderedPageBreak/>
        <w:t xml:space="preserve">Thus, R’ Moshe only requires a </w:t>
      </w:r>
      <w:r>
        <w:rPr>
          <w:i/>
        </w:rPr>
        <w:t>get</w:t>
      </w:r>
      <w:r>
        <w:t xml:space="preserve"> in a case of civil marriage </w:t>
      </w:r>
      <w:r w:rsidR="00A32D5F">
        <w:rPr>
          <w:i/>
        </w:rPr>
        <w:t>l’</w:t>
      </w:r>
      <w:r w:rsidRPr="007A1F37">
        <w:rPr>
          <w:i/>
        </w:rPr>
        <w:t>chumra</w:t>
      </w:r>
      <w:r w:rsidR="007A1F37">
        <w:t xml:space="preserve"> (i.e. </w:t>
      </w:r>
      <w:r w:rsidR="007A1F37">
        <w:rPr>
          <w:i/>
        </w:rPr>
        <w:t>b’makom iggun</w:t>
      </w:r>
      <w:r w:rsidR="007A1F37">
        <w:t>)</w:t>
      </w:r>
      <w:r>
        <w:t xml:space="preserve"> and this would only apply if the couple lived in area that contains religious Jews</w:t>
      </w:r>
      <w:r w:rsidR="006E578B">
        <w:t>.</w:t>
      </w:r>
      <w:r>
        <w:rPr>
          <w:rStyle w:val="FootnoteReference"/>
        </w:rPr>
        <w:footnoteReference w:id="31"/>
      </w:r>
      <w:r w:rsidR="006E578B">
        <w:t xml:space="preserve"> This is also the view of </w:t>
      </w:r>
      <w:r w:rsidR="006E578B" w:rsidRPr="00975D47">
        <w:t>R’ Ovadia</w:t>
      </w:r>
      <w:r w:rsidR="000B2A09">
        <w:rPr>
          <w:rStyle w:val="FootnoteReference"/>
        </w:rPr>
        <w:footnoteReference w:id="32"/>
      </w:r>
      <w:r w:rsidR="006E578B">
        <w:t xml:space="preserve">, who says that he himself was </w:t>
      </w:r>
      <w:r w:rsidR="006E578B" w:rsidRPr="007A1F37">
        <w:rPr>
          <w:i/>
        </w:rPr>
        <w:t>matir</w:t>
      </w:r>
      <w:r w:rsidR="00A76CAD">
        <w:t xml:space="preserve"> </w:t>
      </w:r>
      <w:r w:rsidR="006E578B">
        <w:t>a woman</w:t>
      </w:r>
      <w:r w:rsidR="007A1F37">
        <w:t xml:space="preserve"> in such a case</w:t>
      </w:r>
      <w:r w:rsidR="006E578B">
        <w:t xml:space="preserve"> without a </w:t>
      </w:r>
      <w:r w:rsidR="006E578B">
        <w:rPr>
          <w:i/>
        </w:rPr>
        <w:t>get</w:t>
      </w:r>
      <w:r w:rsidR="006E578B">
        <w:t xml:space="preserve"> in his time as Chief Rabbi of Egypt.</w:t>
      </w:r>
      <w:r w:rsidR="000B2A09">
        <w:t xml:space="preserve"> It is important to note that both R’ Ovadia and R’ Moshe deal with the issue of whether the couple living together generates a </w:t>
      </w:r>
      <w:r w:rsidR="000B2A09" w:rsidRPr="007A1F37">
        <w:rPr>
          <w:i/>
        </w:rPr>
        <w:t>safek kiddushin</w:t>
      </w:r>
      <w:r w:rsidR="00DD1FBA">
        <w:t>.</w:t>
      </w:r>
      <w:r w:rsidR="000B2A09">
        <w:t xml:space="preserve"> </w:t>
      </w:r>
      <w:r w:rsidR="00DD1FBA">
        <w:t>H</w:t>
      </w:r>
      <w:r w:rsidR="000B2A09">
        <w:t>owever</w:t>
      </w:r>
      <w:r w:rsidR="00DD1FBA">
        <w:t>,</w:t>
      </w:r>
      <w:r w:rsidR="000B2A09">
        <w:t xml:space="preserve"> both assume</w:t>
      </w:r>
      <w:r w:rsidR="00A32D5F">
        <w:t xml:space="preserve"> </w:t>
      </w:r>
      <w:r w:rsidR="00DD1FBA">
        <w:t>(</w:t>
      </w:r>
      <w:r w:rsidR="000B2A09">
        <w:t>as d</w:t>
      </w:r>
      <w:r w:rsidR="00262BC0">
        <w:t xml:space="preserve">oes the </w:t>
      </w:r>
      <w:r w:rsidR="00262BC0" w:rsidRPr="00975D47">
        <w:t>Tzitz Eliezer</w:t>
      </w:r>
      <w:r w:rsidR="000B2A09">
        <w:rPr>
          <w:rStyle w:val="FootnoteReference"/>
        </w:rPr>
        <w:footnoteReference w:id="33"/>
      </w:r>
      <w:r w:rsidR="00DD1FBA">
        <w:t>)</w:t>
      </w:r>
      <w:r w:rsidR="000B2A09">
        <w:t xml:space="preserve"> that the civil marriage ceremony itself would not even constitute a </w:t>
      </w:r>
      <w:r w:rsidR="000B2A09" w:rsidRPr="007A1F37">
        <w:rPr>
          <w:i/>
        </w:rPr>
        <w:t>safek kiddushin</w:t>
      </w:r>
      <w:r w:rsidR="000B2A09">
        <w:t xml:space="preserve">, a point that will be </w:t>
      </w:r>
      <w:r w:rsidR="007A1F37">
        <w:t>revisited</w:t>
      </w:r>
      <w:r w:rsidR="000B2A09">
        <w:t xml:space="preserve"> below.</w:t>
      </w:r>
      <w:r w:rsidR="00C20C31">
        <w:t xml:space="preserve"> The latter quotes </w:t>
      </w:r>
      <w:r w:rsidR="00C20C31" w:rsidRPr="00975D47">
        <w:t>R’ Chaim Ozer</w:t>
      </w:r>
      <w:r w:rsidR="00C20C31">
        <w:t xml:space="preserve"> who says that a woman who was civilly married can even marry a </w:t>
      </w:r>
      <w:r w:rsidR="00C20C31" w:rsidRPr="007A1F37">
        <w:rPr>
          <w:i/>
        </w:rPr>
        <w:t>kohen</w:t>
      </w:r>
      <w:r w:rsidR="00C20C31">
        <w:t xml:space="preserve"> subsequently.</w:t>
      </w:r>
      <w:r w:rsidR="00882D7C">
        <w:rPr>
          <w:rStyle w:val="FootnoteReference"/>
        </w:rPr>
        <w:footnoteReference w:id="34"/>
      </w:r>
    </w:p>
    <w:p w14:paraId="69CE8C0D" w14:textId="7C936080" w:rsidR="00B707BC" w:rsidRPr="00463D7C" w:rsidRDefault="00CA7F46" w:rsidP="008A641F">
      <w:pPr>
        <w:jc w:val="both"/>
      </w:pPr>
      <w:r>
        <w:t xml:space="preserve">R’ Yosef Eliyahu Henkin disagrees with the view of the </w:t>
      </w:r>
      <w:r w:rsidRPr="00096EDE">
        <w:rPr>
          <w:i/>
          <w:iCs/>
        </w:rPr>
        <w:t>achronim</w:t>
      </w:r>
      <w:r>
        <w:t xml:space="preserve"> who adopt the position of R’</w:t>
      </w:r>
      <w:r w:rsidR="00572350">
        <w:t xml:space="preserve"> Moshe</w:t>
      </w:r>
      <w:r w:rsidR="007A1F37">
        <w:t xml:space="preserve"> for various reasons</w:t>
      </w:r>
      <w:r w:rsidR="00572350">
        <w:t>.</w:t>
      </w:r>
      <w:r w:rsidR="00572350">
        <w:rPr>
          <w:rStyle w:val="FootnoteReference"/>
        </w:rPr>
        <w:footnoteReference w:id="35"/>
      </w:r>
      <w:r w:rsidR="007A1F37">
        <w:t xml:space="preserve"> In relation to the </w:t>
      </w:r>
      <w:r w:rsidR="007A1F37" w:rsidRPr="00975D47">
        <w:t>Rivash</w:t>
      </w:r>
      <w:r w:rsidR="007A1F37">
        <w:t>,</w:t>
      </w:r>
      <w:r>
        <w:t xml:space="preserve"> </w:t>
      </w:r>
      <w:r w:rsidR="007A1F37">
        <w:t>h</w:t>
      </w:r>
      <w:r w:rsidR="00572350">
        <w:t xml:space="preserve">e states </w:t>
      </w:r>
      <w:r w:rsidR="006D6334">
        <w:t xml:space="preserve">that the </w:t>
      </w:r>
      <w:r w:rsidR="007A1F37">
        <w:t xml:space="preserve">aforementioned </w:t>
      </w:r>
      <w:r w:rsidR="007A1F37" w:rsidRPr="007A1F37">
        <w:rPr>
          <w:i/>
        </w:rPr>
        <w:t>t’shuva</w:t>
      </w:r>
      <w:r w:rsidR="00572350">
        <w:t xml:space="preserve"> is</w:t>
      </w:r>
      <w:r w:rsidR="00D11583">
        <w:t xml:space="preserve"> a </w:t>
      </w:r>
      <w:r w:rsidR="00D11583" w:rsidRPr="007A1F37">
        <w:rPr>
          <w:i/>
        </w:rPr>
        <w:t>chidush</w:t>
      </w:r>
      <w:r w:rsidR="00D11583">
        <w:t xml:space="preserve"> and ‘</w:t>
      </w:r>
      <w:r w:rsidR="00D11583" w:rsidRPr="007A1F37">
        <w:rPr>
          <w:i/>
        </w:rPr>
        <w:t>ein bo ela chidusho’</w:t>
      </w:r>
      <w:r w:rsidR="006D6334">
        <w:t>;</w:t>
      </w:r>
      <w:r w:rsidR="007A1F37">
        <w:t xml:space="preserve"> </w:t>
      </w:r>
      <w:r w:rsidR="006D6334">
        <w:t>i</w:t>
      </w:r>
      <w:r w:rsidR="007A1F37">
        <w:t xml:space="preserve">.e. </w:t>
      </w:r>
      <w:r w:rsidR="00DD1FBA">
        <w:t>h</w:t>
      </w:r>
      <w:r w:rsidR="00F16384">
        <w:t>is</w:t>
      </w:r>
      <w:r w:rsidR="007A1F37">
        <w:t xml:space="preserve"> </w:t>
      </w:r>
      <w:r w:rsidR="007A1F37" w:rsidRPr="00F16384">
        <w:rPr>
          <w:i/>
        </w:rPr>
        <w:t>t’shuva</w:t>
      </w:r>
      <w:r w:rsidR="007A1F37">
        <w:t xml:space="preserve"> relates to a specific </w:t>
      </w:r>
      <w:r w:rsidR="00572350">
        <w:t>scenario where two people were married by a priest and were destined to live a life entirely out of the community</w:t>
      </w:r>
      <w:r w:rsidR="006D6334">
        <w:t>. H</w:t>
      </w:r>
      <w:r w:rsidR="00572350">
        <w:t>owever where a couple lives amongst Jews, he argues that the</w:t>
      </w:r>
      <w:r w:rsidR="00463D7C">
        <w:t>y are considered to be married. R’ Henkin does say that a marriage in the context of civil marriage in communist Russia, where the societal norm was in favour of the destruction of the traditional exclus</w:t>
      </w:r>
      <w:r w:rsidR="007A1F37">
        <w:t xml:space="preserve">ive marriage relationship, </w:t>
      </w:r>
      <w:r w:rsidR="00463D7C">
        <w:t xml:space="preserve">the </w:t>
      </w:r>
      <w:r w:rsidR="007A1F37" w:rsidRPr="007A1F37">
        <w:rPr>
          <w:i/>
        </w:rPr>
        <w:t>heter</w:t>
      </w:r>
      <w:r w:rsidR="007A1F37">
        <w:t xml:space="preserve"> of the </w:t>
      </w:r>
      <w:r w:rsidR="00463D7C" w:rsidRPr="007A1F37">
        <w:t>Rivash</w:t>
      </w:r>
      <w:r w:rsidR="00463D7C">
        <w:t xml:space="preserve"> could be applied. He emphasises that this was </w:t>
      </w:r>
      <w:r w:rsidR="00463D7C">
        <w:rPr>
          <w:b/>
        </w:rPr>
        <w:t>not</w:t>
      </w:r>
      <w:r w:rsidR="00463D7C">
        <w:t xml:space="preserve"> true in America, from where he was writing.</w:t>
      </w:r>
    </w:p>
    <w:p w14:paraId="33DFC7F5" w14:textId="6ED416F7" w:rsidR="004C5744" w:rsidRPr="004C5744" w:rsidRDefault="004C5744" w:rsidP="00A32D5F">
      <w:pPr>
        <w:jc w:val="both"/>
      </w:pPr>
      <w:r>
        <w:t>R’ Moshe</w:t>
      </w:r>
      <w:r>
        <w:rPr>
          <w:rStyle w:val="FootnoteReference"/>
        </w:rPr>
        <w:footnoteReference w:id="36"/>
      </w:r>
      <w:r>
        <w:t xml:space="preserve"> disagrees with R’ Henkin’s understanding of the </w:t>
      </w:r>
      <w:r w:rsidRPr="00975D47">
        <w:t>Rivash</w:t>
      </w:r>
      <w:r>
        <w:t xml:space="preserve">, </w:t>
      </w:r>
      <w:r w:rsidR="00A32D5F">
        <w:t>and</w:t>
      </w:r>
      <w:r>
        <w:t xml:space="preserve">, as </w:t>
      </w:r>
      <w:r w:rsidR="006D6334">
        <w:t xml:space="preserve">mentioned </w:t>
      </w:r>
      <w:r>
        <w:t xml:space="preserve">above, understands </w:t>
      </w:r>
      <w:r w:rsidR="006D6334">
        <w:t xml:space="preserve">it </w:t>
      </w:r>
      <w:r>
        <w:t xml:space="preserve">to have a more far-reaching </w:t>
      </w:r>
      <w:r w:rsidR="002B0144">
        <w:t>application</w:t>
      </w:r>
      <w:r w:rsidR="0038277E">
        <w:t>. In correspondence with R’ Henkin in HaPardeis</w:t>
      </w:r>
      <w:r w:rsidR="0038277E">
        <w:rPr>
          <w:rStyle w:val="FootnoteReference"/>
        </w:rPr>
        <w:footnoteReference w:id="37"/>
      </w:r>
      <w:r w:rsidR="0038277E">
        <w:t>, R’ Chaim Fishel Epstein,</w:t>
      </w:r>
      <w:r w:rsidR="00373072">
        <w:t xml:space="preserve"> then</w:t>
      </w:r>
      <w:r w:rsidR="0038277E">
        <w:t xml:space="preserve"> Dayan of St. Louis, points out that the</w:t>
      </w:r>
      <w:r w:rsidR="0038277E" w:rsidRPr="00975D47">
        <w:t xml:space="preserve"> Rivash</w:t>
      </w:r>
      <w:r w:rsidR="001F14CB">
        <w:t>’s ruling</w:t>
      </w:r>
      <w:r w:rsidR="0038277E">
        <w:t xml:space="preserve"> does appear to be relatively broad</w:t>
      </w:r>
      <w:r w:rsidR="003E3A8D">
        <w:t xml:space="preserve"> in its potential application</w:t>
      </w:r>
      <w:r w:rsidR="0038277E">
        <w:t xml:space="preserve">, given that he seems to accord with the </w:t>
      </w:r>
      <w:r w:rsidR="0038277E" w:rsidRPr="00A32D5F">
        <w:t>Rambam’s</w:t>
      </w:r>
      <w:r w:rsidR="0038277E">
        <w:t xml:space="preserve"> view of the application of the </w:t>
      </w:r>
      <w:r w:rsidR="0038277E" w:rsidRPr="00096EDE">
        <w:rPr>
          <w:i/>
          <w:iCs/>
        </w:rPr>
        <w:t>chazaka</w:t>
      </w:r>
      <w:r w:rsidR="0038277E">
        <w:t>.</w:t>
      </w:r>
      <w:r w:rsidR="00B707BC">
        <w:t xml:space="preserve"> </w:t>
      </w:r>
    </w:p>
    <w:p w14:paraId="2B06D7CC" w14:textId="77777777" w:rsidR="001F1A91" w:rsidRDefault="001F1A91" w:rsidP="008A641F">
      <w:pPr>
        <w:jc w:val="both"/>
        <w:rPr>
          <w:b/>
        </w:rPr>
      </w:pPr>
      <w:r w:rsidRPr="003E13DE">
        <w:rPr>
          <w:b/>
        </w:rPr>
        <w:t>Other concerns</w:t>
      </w:r>
      <w:r w:rsidR="0041674C">
        <w:rPr>
          <w:rStyle w:val="FootnoteReference"/>
          <w:b/>
        </w:rPr>
        <w:footnoteReference w:id="38"/>
      </w:r>
    </w:p>
    <w:p w14:paraId="40918620" w14:textId="1397A47B" w:rsidR="00F16384" w:rsidRPr="00F16384" w:rsidRDefault="00F16384" w:rsidP="00B9402F">
      <w:pPr>
        <w:jc w:val="both"/>
      </w:pPr>
      <w:r>
        <w:t xml:space="preserve">Aside from the possible application of the </w:t>
      </w:r>
      <w:r w:rsidRPr="00096EDE">
        <w:rPr>
          <w:i/>
          <w:iCs/>
        </w:rPr>
        <w:t>chazaka</w:t>
      </w:r>
      <w:r>
        <w:t xml:space="preserve"> in instances </w:t>
      </w:r>
      <w:r w:rsidR="00A32D5F">
        <w:t>of</w:t>
      </w:r>
      <w:r>
        <w:t xml:space="preserve"> civil marriage, there are also other concerns </w:t>
      </w:r>
      <w:r w:rsidR="00B9402F">
        <w:t xml:space="preserve">raised by the </w:t>
      </w:r>
      <w:r w:rsidR="00B9402F">
        <w:rPr>
          <w:i/>
          <w:iCs/>
        </w:rPr>
        <w:t>poskim</w:t>
      </w:r>
      <w:r>
        <w:t xml:space="preserve">, which suggest that a </w:t>
      </w:r>
      <w:r>
        <w:rPr>
          <w:i/>
        </w:rPr>
        <w:t>get</w:t>
      </w:r>
      <w:r>
        <w:t xml:space="preserve"> ought to be required upon termination of a civil marriage.</w:t>
      </w:r>
    </w:p>
    <w:p w14:paraId="29D34B60" w14:textId="77777777" w:rsidR="006D6443" w:rsidRPr="00716CB3" w:rsidRDefault="0041674C" w:rsidP="008A641F">
      <w:pPr>
        <w:jc w:val="both"/>
        <w:rPr>
          <w:b/>
          <w:bCs/>
        </w:rPr>
      </w:pPr>
      <w:r w:rsidRPr="00716CB3">
        <w:rPr>
          <w:b/>
          <w:bCs/>
        </w:rPr>
        <w:t>Potential p</w:t>
      </w:r>
      <w:r w:rsidR="006D6443" w:rsidRPr="00716CB3">
        <w:rPr>
          <w:b/>
          <w:bCs/>
        </w:rPr>
        <w:t xml:space="preserve">roblems arising from being </w:t>
      </w:r>
      <w:r w:rsidR="006D6443" w:rsidRPr="00716CB3">
        <w:rPr>
          <w:b/>
          <w:bCs/>
          <w:i/>
        </w:rPr>
        <w:t>meikil</w:t>
      </w:r>
    </w:p>
    <w:p w14:paraId="29FF5BDF" w14:textId="522EEB9F" w:rsidR="006D6443" w:rsidRDefault="006D6443" w:rsidP="00B9402F">
      <w:pPr>
        <w:jc w:val="both"/>
      </w:pPr>
      <w:r>
        <w:t>Anecdotally, R’ Henkin is said to have held his position very strongly.</w:t>
      </w:r>
      <w:r>
        <w:rPr>
          <w:rStyle w:val="FootnoteReference"/>
        </w:rPr>
        <w:footnoteReference w:id="39"/>
      </w:r>
      <w:r>
        <w:t xml:space="preserve"> It is clear that aside from the halachic issues involved, R’ Henkin is also concerned with the potential fallout from allowing civil marriages to terminate without </w:t>
      </w:r>
      <w:r w:rsidRPr="004D4344">
        <w:rPr>
          <w:i/>
        </w:rPr>
        <w:t>gittin</w:t>
      </w:r>
      <w:r>
        <w:t xml:space="preserve">, being that people will try </w:t>
      </w:r>
      <w:r w:rsidR="004D4344">
        <w:t>to</w:t>
      </w:r>
      <w:r>
        <w:t xml:space="preserve"> solve potential </w:t>
      </w:r>
      <w:r w:rsidRPr="004D4344">
        <w:rPr>
          <w:i/>
        </w:rPr>
        <w:t>agunah</w:t>
      </w:r>
      <w:r>
        <w:t xml:space="preserve"> problems by not having a religious marriage in the first instance.</w:t>
      </w:r>
      <w:r>
        <w:rPr>
          <w:rStyle w:val="FootnoteReference"/>
        </w:rPr>
        <w:footnoteReference w:id="40"/>
      </w:r>
      <w:r>
        <w:t xml:space="preserve"> </w:t>
      </w:r>
      <w:r w:rsidR="00FB731D">
        <w:t>(</w:t>
      </w:r>
      <w:r>
        <w:t xml:space="preserve">It is worth mentioning that R’ Menashe </w:t>
      </w:r>
      <w:r>
        <w:lastRenderedPageBreak/>
        <w:t>Klein</w:t>
      </w:r>
      <w:r>
        <w:rPr>
          <w:rStyle w:val="FootnoteReference"/>
        </w:rPr>
        <w:footnoteReference w:id="41"/>
      </w:r>
      <w:r>
        <w:t xml:space="preserve"> believes that even R’ Henkin does not hold that a </w:t>
      </w:r>
      <w:r>
        <w:rPr>
          <w:i/>
        </w:rPr>
        <w:t xml:space="preserve">get </w:t>
      </w:r>
      <w:r w:rsidR="00B9402F">
        <w:t>is</w:t>
      </w:r>
      <w:r>
        <w:t xml:space="preserve"> required absolutely, rather </w:t>
      </w:r>
      <w:r w:rsidRPr="00096EDE">
        <w:rPr>
          <w:i/>
          <w:iCs/>
        </w:rPr>
        <w:t>l</w:t>
      </w:r>
      <w:r w:rsidR="00B9402F">
        <w:rPr>
          <w:i/>
          <w:iCs/>
        </w:rPr>
        <w:t>’</w:t>
      </w:r>
      <w:r w:rsidRPr="00096EDE">
        <w:rPr>
          <w:i/>
          <w:iCs/>
        </w:rPr>
        <w:t>chatchila</w:t>
      </w:r>
      <w:r>
        <w:t xml:space="preserve"> – it is not clear that this is how other </w:t>
      </w:r>
      <w:r w:rsidRPr="00B9402F">
        <w:rPr>
          <w:i/>
          <w:iCs/>
        </w:rPr>
        <w:t>poskim</w:t>
      </w:r>
      <w:r>
        <w:t xml:space="preserve"> understand his view.</w:t>
      </w:r>
      <w:r w:rsidR="00FB731D">
        <w:t>)</w:t>
      </w:r>
    </w:p>
    <w:p w14:paraId="4474441E" w14:textId="025F548F" w:rsidR="006D6443" w:rsidRPr="0069094B" w:rsidRDefault="00976688" w:rsidP="008A641F">
      <w:pPr>
        <w:jc w:val="both"/>
      </w:pPr>
      <w:r>
        <w:t>R’ Dovid Tzvi Hoffman</w:t>
      </w:r>
      <w:r>
        <w:rPr>
          <w:rStyle w:val="FootnoteReference"/>
        </w:rPr>
        <w:footnoteReference w:id="42"/>
      </w:r>
      <w:r>
        <w:t xml:space="preserve"> shares a similar concern if civil marriages were to terminate without the giving of a </w:t>
      </w:r>
      <w:r>
        <w:rPr>
          <w:i/>
        </w:rPr>
        <w:t>get</w:t>
      </w:r>
      <w:r>
        <w:t>.</w:t>
      </w:r>
      <w:r w:rsidR="0002192F">
        <w:t xml:space="preserve"> He says that there may be occasions where, with the marriage having terminated</w:t>
      </w:r>
      <w:r w:rsidR="00337EB9">
        <w:t xml:space="preserve"> without a </w:t>
      </w:r>
      <w:r w:rsidR="00337EB9">
        <w:rPr>
          <w:i/>
        </w:rPr>
        <w:t>get</w:t>
      </w:r>
      <w:r w:rsidR="00337EB9">
        <w:t xml:space="preserve"> and with the woman having remarried</w:t>
      </w:r>
      <w:r w:rsidR="0002192F">
        <w:t xml:space="preserve">, the husband will subsequently come along and say that he </w:t>
      </w:r>
      <w:r w:rsidR="0002192F" w:rsidRPr="00337EB9">
        <w:rPr>
          <w:u w:val="single"/>
        </w:rPr>
        <w:t>was</w:t>
      </w:r>
      <w:r w:rsidR="0002192F">
        <w:t xml:space="preserve"> </w:t>
      </w:r>
      <w:r w:rsidR="0002192F">
        <w:rPr>
          <w:i/>
        </w:rPr>
        <w:t>bo’el l’sheim kiddushin</w:t>
      </w:r>
      <w:r w:rsidR="0002192F">
        <w:t xml:space="preserve"> and will bring </w:t>
      </w:r>
      <w:r w:rsidR="0002192F">
        <w:rPr>
          <w:i/>
        </w:rPr>
        <w:t>eid</w:t>
      </w:r>
      <w:r w:rsidR="00B9402F">
        <w:rPr>
          <w:i/>
        </w:rPr>
        <w:t>e</w:t>
      </w:r>
      <w:r w:rsidR="0002192F">
        <w:rPr>
          <w:i/>
        </w:rPr>
        <w:t>i yichud</w:t>
      </w:r>
      <w:r w:rsidR="0002192F">
        <w:t xml:space="preserve"> to that end. </w:t>
      </w:r>
      <w:r w:rsidR="0069094B">
        <w:t xml:space="preserve">Because of this, it would be dangerous to have a flat-out </w:t>
      </w:r>
      <w:r w:rsidR="0069094B">
        <w:rPr>
          <w:i/>
        </w:rPr>
        <w:t>heter</w:t>
      </w:r>
      <w:r w:rsidR="0069094B">
        <w:t xml:space="preserve"> for all such marriages. He goes on to quote a view that each individual circumstance should be judged by a group of </w:t>
      </w:r>
      <w:r w:rsidR="0069094B" w:rsidRPr="00337EB9">
        <w:rPr>
          <w:i/>
        </w:rPr>
        <w:t>Rabb</w:t>
      </w:r>
      <w:r w:rsidR="00D45676">
        <w:rPr>
          <w:i/>
        </w:rPr>
        <w:t>a</w:t>
      </w:r>
      <w:r w:rsidR="0069094B" w:rsidRPr="00337EB9">
        <w:rPr>
          <w:i/>
        </w:rPr>
        <w:t>nim</w:t>
      </w:r>
      <w:r w:rsidR="0069094B">
        <w:t xml:space="preserve"> on its own merit. </w:t>
      </w:r>
      <w:r w:rsidR="0069094B" w:rsidRPr="0042760A">
        <w:t>Shu’t Sridei Eish</w:t>
      </w:r>
      <w:r w:rsidR="0069094B">
        <w:rPr>
          <w:rStyle w:val="FootnoteReference"/>
        </w:rPr>
        <w:footnoteReference w:id="43"/>
      </w:r>
      <w:r w:rsidR="0069094B">
        <w:t xml:space="preserve"> questions the practicality of getting three </w:t>
      </w:r>
      <w:r w:rsidR="0069094B" w:rsidRPr="00672E37">
        <w:rPr>
          <w:i/>
        </w:rPr>
        <w:t>Rabb</w:t>
      </w:r>
      <w:r w:rsidR="00D45676">
        <w:rPr>
          <w:i/>
        </w:rPr>
        <w:t>a</w:t>
      </w:r>
      <w:r w:rsidR="0069094B" w:rsidRPr="00672E37">
        <w:rPr>
          <w:i/>
        </w:rPr>
        <w:t>nim</w:t>
      </w:r>
      <w:r w:rsidR="0069094B">
        <w:t xml:space="preserve"> together to adjudicate such cases, arguing that there aren’t three ‘</w:t>
      </w:r>
      <w:r w:rsidR="0069094B">
        <w:rPr>
          <w:i/>
        </w:rPr>
        <w:t>Rabb</w:t>
      </w:r>
      <w:r w:rsidR="00D45676">
        <w:rPr>
          <w:i/>
        </w:rPr>
        <w:t>a</w:t>
      </w:r>
      <w:r w:rsidR="0069094B">
        <w:rPr>
          <w:i/>
        </w:rPr>
        <w:t>nim Muvhakim B’hora’a</w:t>
      </w:r>
      <w:r w:rsidR="0069094B">
        <w:t xml:space="preserve">’ in any one place and even if there were, they wouldn’t want to get involved in such a </w:t>
      </w:r>
      <w:r w:rsidR="0069094B">
        <w:rPr>
          <w:i/>
        </w:rPr>
        <w:t>chamur</w:t>
      </w:r>
      <w:r w:rsidR="0069094B">
        <w:t xml:space="preserve"> matter</w:t>
      </w:r>
      <w:r w:rsidR="00DC7A85">
        <w:t>. (</w:t>
      </w:r>
      <w:r w:rsidR="0069094B">
        <w:t xml:space="preserve">He therefore suggests that all questions on this should be addressed to R’ Herzog, then </w:t>
      </w:r>
      <w:r w:rsidR="001F14CB">
        <w:t>C</w:t>
      </w:r>
      <w:r w:rsidR="0069094B">
        <w:t>hief Rabbi of Israel</w:t>
      </w:r>
      <w:r w:rsidR="00063379">
        <w:t>.</w:t>
      </w:r>
      <w:r w:rsidR="0069094B">
        <w:t>)</w:t>
      </w:r>
    </w:p>
    <w:p w14:paraId="3B65FF07" w14:textId="5B212737" w:rsidR="00C25FFD" w:rsidRPr="00716CB3" w:rsidRDefault="00B9402F" w:rsidP="008A641F">
      <w:pPr>
        <w:jc w:val="both"/>
        <w:rPr>
          <w:b/>
          <w:bCs/>
          <w:i/>
          <w:iCs/>
        </w:rPr>
      </w:pPr>
      <w:r w:rsidRPr="00716CB3">
        <w:rPr>
          <w:b/>
          <w:bCs/>
        </w:rPr>
        <w:t xml:space="preserve">Looking at the Context - </w:t>
      </w:r>
      <w:r w:rsidRPr="00716CB3">
        <w:rPr>
          <w:b/>
          <w:bCs/>
          <w:i/>
          <w:iCs/>
        </w:rPr>
        <w:t>M’</w:t>
      </w:r>
      <w:r w:rsidR="00C25FFD" w:rsidRPr="00716CB3">
        <w:rPr>
          <w:b/>
          <w:bCs/>
          <w:i/>
          <w:iCs/>
        </w:rPr>
        <w:t>daber Ima al Iskei Kiddushin</w:t>
      </w:r>
    </w:p>
    <w:p w14:paraId="52F577FF" w14:textId="5DCDCC48" w:rsidR="00F90CBD" w:rsidRDefault="00424FA6" w:rsidP="008A641F">
      <w:pPr>
        <w:jc w:val="both"/>
      </w:pPr>
      <w:r>
        <w:t xml:space="preserve">In R’ Henkin’s aforementioned piece in </w:t>
      </w:r>
      <w:r w:rsidRPr="00B9402F">
        <w:t>Hapardeis</w:t>
      </w:r>
      <w:r>
        <w:t>, he cites that civil marriage</w:t>
      </w:r>
      <w:r w:rsidR="00373072">
        <w:t xml:space="preserve"> is no worse than</w:t>
      </w:r>
      <w:r w:rsidR="00F90CBD">
        <w:t xml:space="preserve"> a case of ‘</w:t>
      </w:r>
      <w:r w:rsidR="00B9402F">
        <w:rPr>
          <w:i/>
        </w:rPr>
        <w:t>m’</w:t>
      </w:r>
      <w:r w:rsidR="00F90CBD" w:rsidRPr="001E764D">
        <w:rPr>
          <w:i/>
        </w:rPr>
        <w:t>daber ima al iskei kiddushin’</w:t>
      </w:r>
      <w:r w:rsidR="00B9402F">
        <w:rPr>
          <w:i/>
        </w:rPr>
        <w:t xml:space="preserve"> </w:t>
      </w:r>
      <w:r w:rsidR="00B9402F" w:rsidRPr="00B9402F">
        <w:rPr>
          <w:iCs/>
        </w:rPr>
        <w:t>(talking to</w:t>
      </w:r>
      <w:r w:rsidR="00B9402F">
        <w:t xml:space="preserve"> her about getting married)</w:t>
      </w:r>
      <w:r w:rsidR="00F90CBD">
        <w:t xml:space="preserve">. This relates to the </w:t>
      </w:r>
      <w:r w:rsidR="00F90CBD" w:rsidRPr="00C12304">
        <w:rPr>
          <w:i/>
        </w:rPr>
        <w:t>sugya</w:t>
      </w:r>
      <w:r w:rsidR="00F90CBD">
        <w:t xml:space="preserve"> in </w:t>
      </w:r>
      <w:r w:rsidR="00F90CBD" w:rsidRPr="00B9402F">
        <w:rPr>
          <w:iCs/>
        </w:rPr>
        <w:t>Kiddushin</w:t>
      </w:r>
      <w:r w:rsidR="00F90CBD">
        <w:rPr>
          <w:rStyle w:val="FootnoteReference"/>
        </w:rPr>
        <w:footnoteReference w:id="44"/>
      </w:r>
      <w:r w:rsidR="00F90CBD">
        <w:t xml:space="preserve"> whereby a man is discussing the prospect of marriage or divorce and gives the woman an item or document that </w:t>
      </w:r>
      <w:r w:rsidR="006D6334">
        <w:t xml:space="preserve">could </w:t>
      </w:r>
      <w:r w:rsidR="00F90CBD">
        <w:t xml:space="preserve">achieve </w:t>
      </w:r>
      <w:r w:rsidR="006D6334">
        <w:t xml:space="preserve">either </w:t>
      </w:r>
      <w:r w:rsidR="006D6334">
        <w:rPr>
          <w:i/>
          <w:iCs/>
        </w:rPr>
        <w:t xml:space="preserve">kiddushin </w:t>
      </w:r>
      <w:r w:rsidR="006D6334">
        <w:t xml:space="preserve">or </w:t>
      </w:r>
      <w:r w:rsidR="006D6334">
        <w:rPr>
          <w:i/>
          <w:iCs/>
        </w:rPr>
        <w:t>geirushin</w:t>
      </w:r>
      <w:r w:rsidR="00F90CBD">
        <w:t>. Even if he doesn’t explicate what he is doing</w:t>
      </w:r>
      <w:r w:rsidR="00672E37">
        <w:t xml:space="preserve"> when undertaking the action</w:t>
      </w:r>
      <w:r w:rsidR="00F90CBD">
        <w:t xml:space="preserve">, </w:t>
      </w:r>
      <w:r w:rsidR="0042760A">
        <w:t xml:space="preserve">Reb Yosi </w:t>
      </w:r>
      <w:r w:rsidR="00F90CBD">
        <w:t>(who</w:t>
      </w:r>
      <w:r w:rsidR="00672E37">
        <w:t>m</w:t>
      </w:r>
      <w:r w:rsidR="00F90CBD">
        <w:t xml:space="preserve"> we </w:t>
      </w:r>
      <w:r w:rsidR="00F90CBD" w:rsidRPr="00672E37">
        <w:rPr>
          <w:i/>
        </w:rPr>
        <w:t>pasken</w:t>
      </w:r>
      <w:r w:rsidR="00F90CBD">
        <w:t xml:space="preserve"> like</w:t>
      </w:r>
      <w:r w:rsidR="00F90CBD">
        <w:rPr>
          <w:rStyle w:val="FootnoteReference"/>
        </w:rPr>
        <w:footnoteReference w:id="45"/>
      </w:r>
      <w:r w:rsidR="00F90CBD">
        <w:t xml:space="preserve">) says this is sufficient. </w:t>
      </w:r>
    </w:p>
    <w:p w14:paraId="2E096447" w14:textId="6B62C01F" w:rsidR="00C25FFD" w:rsidRDefault="00F90CBD" w:rsidP="008A641F">
      <w:pPr>
        <w:jc w:val="both"/>
      </w:pPr>
      <w:r>
        <w:t>R’ Henkin applies this to civil marriage. He notes that both parties are aware of what they</w:t>
      </w:r>
      <w:r w:rsidR="006D6334">
        <w:t xml:space="preserve"> a</w:t>
      </w:r>
      <w:r>
        <w:t xml:space="preserve">re doing at a civil marriage </w:t>
      </w:r>
      <w:r w:rsidR="006D6334">
        <w:t>(</w:t>
      </w:r>
      <w:r>
        <w:t xml:space="preserve">as the </w:t>
      </w:r>
      <w:r w:rsidR="006D6334">
        <w:t xml:space="preserve">phrase </w:t>
      </w:r>
      <w:r>
        <w:t>suggests</w:t>
      </w:r>
      <w:r w:rsidR="006D6334">
        <w:t>)</w:t>
      </w:r>
      <w:r>
        <w:t xml:space="preserve"> </w:t>
      </w:r>
      <w:r w:rsidR="00601C48">
        <w:t xml:space="preserve">and that although this may bear little resemblance to a halachic ceremony, a number of the features of a halachic ceremony are not strictly speaking needed. For instance, he quotes </w:t>
      </w:r>
      <w:r w:rsidR="00601C48" w:rsidRPr="00596B0F">
        <w:t>Tosafos</w:t>
      </w:r>
      <w:r w:rsidR="00672E37">
        <w:t xml:space="preserve"> in</w:t>
      </w:r>
      <w:r w:rsidR="00601C48">
        <w:t xml:space="preserve"> </w:t>
      </w:r>
      <w:r w:rsidR="00601C48" w:rsidRPr="00B9402F">
        <w:rPr>
          <w:iCs/>
        </w:rPr>
        <w:t>Kesubos</w:t>
      </w:r>
      <w:r w:rsidR="00601C48">
        <w:rPr>
          <w:rStyle w:val="FootnoteReference"/>
        </w:rPr>
        <w:footnoteReference w:id="46"/>
      </w:r>
      <w:r w:rsidR="00601C48">
        <w:t xml:space="preserve"> that</w:t>
      </w:r>
      <w:r w:rsidR="00672E37">
        <w:t xml:space="preserve"> explain that</w:t>
      </w:r>
      <w:r w:rsidR="00601C48">
        <w:t xml:space="preserve"> the saying of </w:t>
      </w:r>
      <w:r w:rsidR="00672E37">
        <w:t>‘</w:t>
      </w:r>
      <w:r w:rsidR="00601C48" w:rsidRPr="00672E37">
        <w:rPr>
          <w:i/>
        </w:rPr>
        <w:t>k’das Moshe V’Yisroel</w:t>
      </w:r>
      <w:r w:rsidR="00672E37" w:rsidRPr="00672E37">
        <w:rPr>
          <w:i/>
        </w:rPr>
        <w:t>’</w:t>
      </w:r>
      <w:r w:rsidR="00601C48">
        <w:t xml:space="preserve"> is not an absolute necessity and is said for </w:t>
      </w:r>
      <w:r w:rsidR="006D6334">
        <w:t xml:space="preserve">reasons other than that of </w:t>
      </w:r>
      <w:r w:rsidR="006D6334">
        <w:rPr>
          <w:i/>
          <w:iCs/>
        </w:rPr>
        <w:t xml:space="preserve">kiddushin </w:t>
      </w:r>
      <w:r w:rsidR="006D6334">
        <w:t xml:space="preserve">and </w:t>
      </w:r>
      <w:r w:rsidR="006D6334">
        <w:rPr>
          <w:i/>
          <w:iCs/>
        </w:rPr>
        <w:t>nessuin</w:t>
      </w:r>
      <w:r w:rsidR="00601C48">
        <w:t>.</w:t>
      </w:r>
      <w:r w:rsidR="00601C48">
        <w:rPr>
          <w:rStyle w:val="FootnoteReference"/>
        </w:rPr>
        <w:footnoteReference w:id="47"/>
      </w:r>
      <w:r w:rsidR="00C25FFD">
        <w:t xml:space="preserve"> </w:t>
      </w:r>
    </w:p>
    <w:p w14:paraId="677EE1AE" w14:textId="229EBD7A" w:rsidR="002E5197" w:rsidRPr="00FE6DB8" w:rsidRDefault="00C25FFD" w:rsidP="00DA224B">
      <w:pPr>
        <w:jc w:val="both"/>
      </w:pPr>
      <w:r>
        <w:t>As such, R</w:t>
      </w:r>
      <w:r w:rsidR="00B9402F">
        <w:t>’</w:t>
      </w:r>
      <w:r>
        <w:t xml:space="preserve"> Henkin suggests that the ceremony itself may achieve </w:t>
      </w:r>
      <w:r w:rsidRPr="00096EDE">
        <w:rPr>
          <w:i/>
          <w:iCs/>
        </w:rPr>
        <w:t>kiddushin</w:t>
      </w:r>
      <w:r>
        <w:t xml:space="preserve">. As an aside, he says that this would only be true if there </w:t>
      </w:r>
      <w:r w:rsidRPr="00672E37">
        <w:t>are</w:t>
      </w:r>
      <w:r w:rsidR="00672E37">
        <w:t xml:space="preserve"> kosher </w:t>
      </w:r>
      <w:r w:rsidR="00672E37" w:rsidRPr="00672E37">
        <w:rPr>
          <w:i/>
        </w:rPr>
        <w:t>e</w:t>
      </w:r>
      <w:r w:rsidRPr="00672E37">
        <w:rPr>
          <w:i/>
        </w:rPr>
        <w:t>idim</w:t>
      </w:r>
      <w:r>
        <w:t xml:space="preserve"> there (see below) and if there is some sort of giving of a </w:t>
      </w:r>
      <w:r w:rsidRPr="00672E37">
        <w:rPr>
          <w:i/>
        </w:rPr>
        <w:t>sh</w:t>
      </w:r>
      <w:r w:rsidR="00B9402F">
        <w:rPr>
          <w:i/>
        </w:rPr>
        <w:t>’</w:t>
      </w:r>
      <w:r w:rsidRPr="00672E37">
        <w:rPr>
          <w:i/>
        </w:rPr>
        <w:t>tar</w:t>
      </w:r>
      <w:r w:rsidR="00B9402F">
        <w:rPr>
          <w:i/>
        </w:rPr>
        <w:t xml:space="preserve"> </w:t>
      </w:r>
      <w:r w:rsidR="00B9402F">
        <w:rPr>
          <w:iCs/>
        </w:rPr>
        <w:t>(document)</w:t>
      </w:r>
      <w:r>
        <w:t xml:space="preserve"> or </w:t>
      </w:r>
      <w:r w:rsidRPr="00672E37">
        <w:rPr>
          <w:i/>
        </w:rPr>
        <w:t>kesef</w:t>
      </w:r>
      <w:r w:rsidR="00672E37" w:rsidRPr="00672E37">
        <w:rPr>
          <w:i/>
        </w:rPr>
        <w:t>/shaveh kesef</w:t>
      </w:r>
      <w:r w:rsidR="00B9402F">
        <w:rPr>
          <w:iCs/>
        </w:rPr>
        <w:t xml:space="preserve"> (something of monetary value)</w:t>
      </w:r>
      <w:r>
        <w:t xml:space="preserve">. </w:t>
      </w:r>
      <w:r w:rsidR="00EC64B5">
        <w:t xml:space="preserve">He acknowledges that this may not be the case but then draws a parallel to the </w:t>
      </w:r>
      <w:r w:rsidR="00DA224B">
        <w:t>g</w:t>
      </w:r>
      <w:r w:rsidR="00EC64B5" w:rsidRPr="00096EDE">
        <w:rPr>
          <w:i/>
          <w:iCs/>
        </w:rPr>
        <w:t>emara</w:t>
      </w:r>
      <w:r w:rsidR="00EC64B5">
        <w:t xml:space="preserve"> in </w:t>
      </w:r>
      <w:r w:rsidR="00EC64B5" w:rsidRPr="00B9402F">
        <w:rPr>
          <w:iCs/>
        </w:rPr>
        <w:t>Kesubos</w:t>
      </w:r>
      <w:r w:rsidR="00EC64B5">
        <w:rPr>
          <w:rStyle w:val="FootnoteReference"/>
        </w:rPr>
        <w:footnoteReference w:id="48"/>
      </w:r>
      <w:r w:rsidR="00EC64B5">
        <w:t xml:space="preserve">, which brings a </w:t>
      </w:r>
      <w:r w:rsidR="002E5197">
        <w:rPr>
          <w:i/>
        </w:rPr>
        <w:t xml:space="preserve">case </w:t>
      </w:r>
      <w:r w:rsidR="00672E37">
        <w:t xml:space="preserve"> </w:t>
      </w:r>
      <w:r w:rsidR="002E5197">
        <w:t>in which  a person</w:t>
      </w:r>
      <w:r w:rsidR="00672E37">
        <w:t xml:space="preserve"> attempts to be </w:t>
      </w:r>
      <w:r w:rsidR="00672E37" w:rsidRPr="00672E37">
        <w:rPr>
          <w:i/>
        </w:rPr>
        <w:t>m</w:t>
      </w:r>
      <w:r w:rsidR="00B9402F">
        <w:rPr>
          <w:i/>
        </w:rPr>
        <w:t>’</w:t>
      </w:r>
      <w:r w:rsidR="00EC64B5" w:rsidRPr="00672E37">
        <w:rPr>
          <w:i/>
        </w:rPr>
        <w:t>kadesh</w:t>
      </w:r>
      <w:r w:rsidR="00EC64B5">
        <w:t xml:space="preserve"> a woman (</w:t>
      </w:r>
      <w:r w:rsidR="00672E37">
        <w:t>erroneously</w:t>
      </w:r>
      <w:r w:rsidR="00EC64B5">
        <w:t xml:space="preserve">) with an item valued under a </w:t>
      </w:r>
      <w:r w:rsidR="00EC64B5" w:rsidRPr="00672E37">
        <w:rPr>
          <w:i/>
        </w:rPr>
        <w:t>shaveh p</w:t>
      </w:r>
      <w:r w:rsidR="00DA224B">
        <w:rPr>
          <w:i/>
        </w:rPr>
        <w:t>’</w:t>
      </w:r>
      <w:r w:rsidR="00EC64B5" w:rsidRPr="00672E37">
        <w:rPr>
          <w:i/>
        </w:rPr>
        <w:t>rutah</w:t>
      </w:r>
      <w:r w:rsidR="00EC64B5">
        <w:t xml:space="preserve"> and then continues to have </w:t>
      </w:r>
      <w:r w:rsidR="00EC64B5" w:rsidRPr="00672E37">
        <w:rPr>
          <w:i/>
        </w:rPr>
        <w:t>b’ilah</w:t>
      </w:r>
      <w:r w:rsidR="00EC64B5">
        <w:t xml:space="preserve"> with her afterwards</w:t>
      </w:r>
      <w:r w:rsidR="00DA224B">
        <w:t xml:space="preserve">. </w:t>
      </w:r>
      <w:r w:rsidR="007542E6">
        <w:t>T</w:t>
      </w:r>
      <w:r w:rsidR="00EC64B5">
        <w:t xml:space="preserve">here is a </w:t>
      </w:r>
      <w:r w:rsidR="00EC64B5" w:rsidRPr="00672E37">
        <w:rPr>
          <w:i/>
        </w:rPr>
        <w:t>machlokes</w:t>
      </w:r>
      <w:r w:rsidR="00EC64B5">
        <w:t xml:space="preserve"> as to w</w:t>
      </w:r>
      <w:r w:rsidR="006F11F6">
        <w:t>hether he</w:t>
      </w:r>
      <w:r w:rsidR="002E5197">
        <w:t xml:space="preserve"> is</w:t>
      </w:r>
      <w:r w:rsidR="006F11F6">
        <w:t xml:space="preserve"> aim</w:t>
      </w:r>
      <w:r w:rsidR="007542E6">
        <w:t>ing</w:t>
      </w:r>
      <w:r w:rsidR="006F11F6">
        <w:t xml:space="preserve"> to rectify his failed </w:t>
      </w:r>
      <w:r w:rsidR="00672E37" w:rsidRPr="00672E37">
        <w:rPr>
          <w:i/>
        </w:rPr>
        <w:t>kiddushin</w:t>
      </w:r>
      <w:r w:rsidR="00672E37">
        <w:t xml:space="preserve"> in the first instance.</w:t>
      </w:r>
      <w:r w:rsidR="00FE6DB8">
        <w:t xml:space="preserve"> </w:t>
      </w:r>
      <w:r w:rsidR="00672E37">
        <w:t>Even if the ceremony is not sufficient, R</w:t>
      </w:r>
      <w:r w:rsidR="00DA224B">
        <w:t>’</w:t>
      </w:r>
      <w:r w:rsidR="00672E37">
        <w:t xml:space="preserve"> Henkin posits that this</w:t>
      </w:r>
      <w:r w:rsidR="006D6334">
        <w:t>,</w:t>
      </w:r>
      <w:r w:rsidR="00672E37">
        <w:t xml:space="preserve"> combine</w:t>
      </w:r>
      <w:r w:rsidR="006D6334">
        <w:t>d</w:t>
      </w:r>
      <w:r w:rsidR="00672E37">
        <w:t xml:space="preserve"> with the </w:t>
      </w:r>
      <w:r w:rsidR="006D6334">
        <w:t xml:space="preserve">fact the </w:t>
      </w:r>
      <w:r w:rsidR="00672E37">
        <w:t>pair liv</w:t>
      </w:r>
      <w:r w:rsidR="006D6334">
        <w:t xml:space="preserve">e </w:t>
      </w:r>
      <w:r w:rsidR="00672E37">
        <w:t>together</w:t>
      </w:r>
      <w:r w:rsidR="007542E6">
        <w:t>,</w:t>
      </w:r>
      <w:r w:rsidR="00672E37">
        <w:t xml:space="preserve"> would be</w:t>
      </w:r>
      <w:r w:rsidR="00DA224B">
        <w:t xml:space="preserve"> sufficient to achieve </w:t>
      </w:r>
      <w:r w:rsidR="00DA224B">
        <w:rPr>
          <w:i/>
          <w:iCs/>
        </w:rPr>
        <w:t>kiddushin</w:t>
      </w:r>
      <w:r w:rsidR="00672E37">
        <w:t>.</w:t>
      </w:r>
    </w:p>
    <w:p w14:paraId="2E534E7A" w14:textId="2B23B0DF" w:rsidR="00DA224B" w:rsidRPr="00716CB3" w:rsidRDefault="00D652FB" w:rsidP="00DA224B">
      <w:pPr>
        <w:jc w:val="both"/>
        <w:rPr>
          <w:b/>
          <w:bCs/>
        </w:rPr>
      </w:pPr>
      <w:r w:rsidRPr="00716CB3">
        <w:rPr>
          <w:b/>
          <w:bCs/>
        </w:rPr>
        <w:t>Alternative</w:t>
      </w:r>
      <w:r w:rsidR="00373072" w:rsidRPr="00716CB3">
        <w:rPr>
          <w:b/>
          <w:bCs/>
        </w:rPr>
        <w:t xml:space="preserve"> Mode of Marriage</w:t>
      </w:r>
    </w:p>
    <w:p w14:paraId="308CB81A" w14:textId="7E381203" w:rsidR="00615220" w:rsidRDefault="004F1E62" w:rsidP="00851D0C">
      <w:pPr>
        <w:jc w:val="both"/>
      </w:pPr>
      <w:r>
        <w:lastRenderedPageBreak/>
        <w:t>The Rogatchover</w:t>
      </w:r>
      <w:r>
        <w:rPr>
          <w:rStyle w:val="FootnoteReference"/>
        </w:rPr>
        <w:footnoteReference w:id="49"/>
      </w:r>
      <w:r w:rsidR="003A30C5">
        <w:t xml:space="preserve"> states a further reason to require a </w:t>
      </w:r>
      <w:r w:rsidR="003A30C5">
        <w:rPr>
          <w:i/>
        </w:rPr>
        <w:t>get</w:t>
      </w:r>
      <w:r w:rsidR="003A30C5">
        <w:t xml:space="preserve"> in the case of a civil marriage. </w:t>
      </w:r>
      <w:r w:rsidR="002E5197">
        <w:t>T</w:t>
      </w:r>
      <w:r w:rsidR="003A30C5">
        <w:t xml:space="preserve">here are two </w:t>
      </w:r>
      <w:r w:rsidR="003A30C5" w:rsidRPr="00096EDE">
        <w:rPr>
          <w:i/>
          <w:iCs/>
        </w:rPr>
        <w:t>kinyanim</w:t>
      </w:r>
      <w:r w:rsidR="003A30C5">
        <w:t xml:space="preserve"> </w:t>
      </w:r>
      <w:r w:rsidR="00DA224B">
        <w:t xml:space="preserve">within </w:t>
      </w:r>
      <w:r w:rsidR="003A30C5" w:rsidRPr="000B7213">
        <w:rPr>
          <w:i/>
        </w:rPr>
        <w:t>kiddushin</w:t>
      </w:r>
      <w:r w:rsidR="002E5197">
        <w:t>:</w:t>
      </w:r>
      <w:r w:rsidR="003A30C5">
        <w:t xml:space="preserve"> that of a </w:t>
      </w:r>
      <w:r w:rsidR="003A30C5" w:rsidRPr="000B7213">
        <w:rPr>
          <w:i/>
        </w:rPr>
        <w:t>kinyan</w:t>
      </w:r>
      <w:r w:rsidR="003A30C5">
        <w:t xml:space="preserve"> to the </w:t>
      </w:r>
      <w:r w:rsidR="003A30C5" w:rsidRPr="000B7213">
        <w:rPr>
          <w:i/>
        </w:rPr>
        <w:t>ba’al</w:t>
      </w:r>
      <w:r w:rsidR="00DA224B">
        <w:t xml:space="preserve"> as a solely legal transaction </w:t>
      </w:r>
      <w:r w:rsidR="003A30C5">
        <w:t xml:space="preserve">and a </w:t>
      </w:r>
      <w:r w:rsidR="003A30C5" w:rsidRPr="000B7213">
        <w:rPr>
          <w:i/>
        </w:rPr>
        <w:t>kinyan issur</w:t>
      </w:r>
      <w:r w:rsidR="000B7213">
        <w:t xml:space="preserve"> that the woman can no longer cohabit with</w:t>
      </w:r>
      <w:r w:rsidR="003A30C5">
        <w:t xml:space="preserve"> others.</w:t>
      </w:r>
      <w:r w:rsidR="00FA1C5B">
        <w:t xml:space="preserve"> </w:t>
      </w:r>
      <w:r w:rsidR="000B7213">
        <w:t xml:space="preserve">There can be </w:t>
      </w:r>
      <w:r w:rsidR="00DA224B">
        <w:t>situations in which</w:t>
      </w:r>
      <w:r w:rsidR="000B7213">
        <w:t xml:space="preserve"> one </w:t>
      </w:r>
      <w:r w:rsidR="00DA224B">
        <w:rPr>
          <w:i/>
          <w:iCs/>
        </w:rPr>
        <w:t xml:space="preserve">kinyan </w:t>
      </w:r>
      <w:r w:rsidR="000B7213">
        <w:t xml:space="preserve">can exist without the other, which he posits </w:t>
      </w:r>
      <w:r w:rsidR="00851D0C">
        <w:t>includes</w:t>
      </w:r>
      <w:r w:rsidR="000B7213">
        <w:t xml:space="preserve"> the case of two people who live together following a civil marriage.</w:t>
      </w:r>
    </w:p>
    <w:p w14:paraId="217F7A70" w14:textId="17C808AA" w:rsidR="00D652FB" w:rsidRDefault="00FA1C5B" w:rsidP="00851D0C">
      <w:pPr>
        <w:jc w:val="both"/>
      </w:pPr>
      <w:r>
        <w:t xml:space="preserve">The view that there </w:t>
      </w:r>
      <w:r w:rsidR="00615220">
        <w:t>can be a quasi-marriage in this sense</w:t>
      </w:r>
      <w:r>
        <w:t xml:space="preserve"> appears to be based on the words of </w:t>
      </w:r>
      <w:r w:rsidR="00851D0C">
        <w:t>Tos</w:t>
      </w:r>
      <w:r w:rsidRPr="00851D0C">
        <w:t>fos</w:t>
      </w:r>
      <w:r>
        <w:t xml:space="preserve"> in </w:t>
      </w:r>
      <w:r w:rsidRPr="00851D0C">
        <w:rPr>
          <w:iCs/>
        </w:rPr>
        <w:t>Kiddushin</w:t>
      </w:r>
      <w:r>
        <w:t>.</w:t>
      </w:r>
      <w:r>
        <w:rPr>
          <w:rStyle w:val="FootnoteReference"/>
        </w:rPr>
        <w:footnoteReference w:id="50"/>
      </w:r>
      <w:r w:rsidR="003A30C5">
        <w:t xml:space="preserve"> </w:t>
      </w:r>
      <w:r w:rsidR="00615220">
        <w:t xml:space="preserve">The </w:t>
      </w:r>
      <w:r w:rsidR="00595209">
        <w:rPr>
          <w:i/>
          <w:iCs/>
        </w:rPr>
        <w:t>g</w:t>
      </w:r>
      <w:r w:rsidR="00615220" w:rsidRPr="00096EDE">
        <w:rPr>
          <w:i/>
          <w:iCs/>
        </w:rPr>
        <w:t>em</w:t>
      </w:r>
      <w:r w:rsidR="007542E6">
        <w:rPr>
          <w:i/>
          <w:iCs/>
        </w:rPr>
        <w:t>a</w:t>
      </w:r>
      <w:r w:rsidR="00615220" w:rsidRPr="00096EDE">
        <w:rPr>
          <w:i/>
          <w:iCs/>
        </w:rPr>
        <w:t>ra</w:t>
      </w:r>
      <w:r w:rsidR="00615220">
        <w:t xml:space="preserve"> seeks to ascertain the source for the fact that a woman can remarry once her husband has died. At one point in this discussion, the </w:t>
      </w:r>
      <w:r w:rsidR="00595209">
        <w:rPr>
          <w:i/>
          <w:iCs/>
        </w:rPr>
        <w:t>g</w:t>
      </w:r>
      <w:r w:rsidR="00615220" w:rsidRPr="00096EDE">
        <w:rPr>
          <w:i/>
          <w:iCs/>
        </w:rPr>
        <w:t>em</w:t>
      </w:r>
      <w:r w:rsidR="007542E6">
        <w:rPr>
          <w:i/>
          <w:iCs/>
        </w:rPr>
        <w:t>a</w:t>
      </w:r>
      <w:r w:rsidR="00615220" w:rsidRPr="00096EDE">
        <w:rPr>
          <w:i/>
          <w:iCs/>
        </w:rPr>
        <w:t>ra</w:t>
      </w:r>
      <w:r w:rsidR="00615220">
        <w:t xml:space="preserve"> suggests that the source comes from the fact that an </w:t>
      </w:r>
      <w:r w:rsidR="00615220">
        <w:rPr>
          <w:i/>
        </w:rPr>
        <w:t>almanah</w:t>
      </w:r>
      <w:r w:rsidR="00615220">
        <w:t xml:space="preserve"> can</w:t>
      </w:r>
      <w:r w:rsidR="00D051CB">
        <w:t>not</w:t>
      </w:r>
      <w:r w:rsidR="00615220">
        <w:t xml:space="preserve"> marry a </w:t>
      </w:r>
      <w:r w:rsidR="00615220" w:rsidRPr="00615220">
        <w:rPr>
          <w:i/>
        </w:rPr>
        <w:t>kohen gadol</w:t>
      </w:r>
      <w:r w:rsidR="00615220">
        <w:t xml:space="preserve"> but can</w:t>
      </w:r>
      <w:r w:rsidR="00D479F6">
        <w:t xml:space="preserve"> wed</w:t>
      </w:r>
      <w:r w:rsidR="00615220">
        <w:t xml:space="preserve"> a regular </w:t>
      </w:r>
      <w:r w:rsidR="00615220">
        <w:rPr>
          <w:i/>
        </w:rPr>
        <w:t>kohen</w:t>
      </w:r>
      <w:r w:rsidR="00615220">
        <w:t xml:space="preserve">. The </w:t>
      </w:r>
      <w:r w:rsidR="00595209">
        <w:rPr>
          <w:i/>
          <w:iCs/>
        </w:rPr>
        <w:t>g</w:t>
      </w:r>
      <w:r w:rsidR="00615220" w:rsidRPr="00096EDE">
        <w:rPr>
          <w:i/>
          <w:iCs/>
        </w:rPr>
        <w:t>em</w:t>
      </w:r>
      <w:r w:rsidR="007542E6">
        <w:rPr>
          <w:i/>
          <w:iCs/>
        </w:rPr>
        <w:t>a</w:t>
      </w:r>
      <w:r w:rsidR="00615220" w:rsidRPr="00096EDE">
        <w:rPr>
          <w:i/>
          <w:iCs/>
        </w:rPr>
        <w:t>ra</w:t>
      </w:r>
      <w:r w:rsidR="00615220">
        <w:t xml:space="preserve"> dismisses this by suggesting that maybe there is</w:t>
      </w:r>
      <w:r w:rsidR="003C41EF">
        <w:t xml:space="preserve"> still</w:t>
      </w:r>
      <w:r w:rsidR="00615220">
        <w:t xml:space="preserve"> an </w:t>
      </w:r>
      <w:r w:rsidR="00615220">
        <w:rPr>
          <w:i/>
        </w:rPr>
        <w:t>issur aseh</w:t>
      </w:r>
      <w:r w:rsidR="003C41EF">
        <w:t xml:space="preserve"> with a regular </w:t>
      </w:r>
      <w:r w:rsidR="003C41EF">
        <w:rPr>
          <w:i/>
        </w:rPr>
        <w:t xml:space="preserve">kohen. </w:t>
      </w:r>
      <w:r w:rsidR="003C41EF">
        <w:t>In terms of what this</w:t>
      </w:r>
      <w:r w:rsidR="00D479F6">
        <w:t xml:space="preserve"> </w:t>
      </w:r>
      <w:r w:rsidR="00D479F6">
        <w:rPr>
          <w:i/>
        </w:rPr>
        <w:t>issur aseh</w:t>
      </w:r>
      <w:r w:rsidR="003C41EF">
        <w:t xml:space="preserve"> may be, </w:t>
      </w:r>
      <w:r w:rsidR="003C41EF" w:rsidRPr="00851D0C">
        <w:t>Tosfos</w:t>
      </w:r>
      <w:r w:rsidR="003C41EF">
        <w:rPr>
          <w:rStyle w:val="FootnoteReference"/>
        </w:rPr>
        <w:footnoteReference w:id="51"/>
      </w:r>
      <w:r w:rsidR="003C41EF">
        <w:t xml:space="preserve"> </w:t>
      </w:r>
      <w:r w:rsidR="008803E8">
        <w:t>pose that there</w:t>
      </w:r>
      <w:r w:rsidR="00D051CB">
        <w:t xml:space="preserve"> is</w:t>
      </w:r>
      <w:r w:rsidR="008803E8">
        <w:t xml:space="preserve"> an </w:t>
      </w:r>
      <w:r w:rsidR="008803E8" w:rsidRPr="00765687">
        <w:rPr>
          <w:i/>
        </w:rPr>
        <w:t>aseh</w:t>
      </w:r>
      <w:r w:rsidR="008803E8">
        <w:t xml:space="preserve"> of ‘</w:t>
      </w:r>
      <w:r w:rsidR="00851D0C">
        <w:rPr>
          <w:i/>
          <w:iCs/>
        </w:rPr>
        <w:t>v’da</w:t>
      </w:r>
      <w:r w:rsidR="008803E8" w:rsidRPr="00096EDE">
        <w:rPr>
          <w:i/>
          <w:iCs/>
        </w:rPr>
        <w:t>vak b’ishto</w:t>
      </w:r>
      <w:r w:rsidR="008803E8">
        <w:t>’</w:t>
      </w:r>
      <w:r w:rsidR="008803E8">
        <w:rPr>
          <w:rStyle w:val="FootnoteReference"/>
        </w:rPr>
        <w:footnoteReference w:id="52"/>
      </w:r>
      <w:r w:rsidR="008803E8">
        <w:t xml:space="preserve"> – </w:t>
      </w:r>
      <w:r w:rsidR="00851D0C">
        <w:t xml:space="preserve">one must attach himself to his </w:t>
      </w:r>
      <w:r w:rsidR="00765687">
        <w:t xml:space="preserve">wife and not another woman – which appears to be aside from the regular </w:t>
      </w:r>
      <w:r w:rsidR="00765687" w:rsidRPr="00765687">
        <w:rPr>
          <w:i/>
        </w:rPr>
        <w:t>kinyanim</w:t>
      </w:r>
      <w:r w:rsidR="00D479F6">
        <w:rPr>
          <w:i/>
        </w:rPr>
        <w:t>/</w:t>
      </w:r>
      <w:r w:rsidR="00D479F6">
        <w:t>halachic construction</w:t>
      </w:r>
      <w:r w:rsidR="00765687">
        <w:t xml:space="preserve"> of</w:t>
      </w:r>
      <w:r w:rsidR="00D479F6">
        <w:t xml:space="preserve"> a typical</w:t>
      </w:r>
      <w:r w:rsidR="00765687">
        <w:t xml:space="preserve"> marriage.</w:t>
      </w:r>
    </w:p>
    <w:p w14:paraId="3288EEFC" w14:textId="61C8E3EF" w:rsidR="00731742" w:rsidRDefault="008803E8" w:rsidP="00DF61E4">
      <w:pPr>
        <w:jc w:val="both"/>
      </w:pPr>
      <w:r>
        <w:t xml:space="preserve">The </w:t>
      </w:r>
      <w:r w:rsidRPr="00851D0C">
        <w:t>Rogatchover</w:t>
      </w:r>
      <w:r w:rsidR="003A30C5">
        <w:t xml:space="preserve"> </w:t>
      </w:r>
      <w:r>
        <w:t>states</w:t>
      </w:r>
      <w:r w:rsidR="003A30C5">
        <w:t xml:space="preserve"> that </w:t>
      </w:r>
      <w:r w:rsidR="00DF61E4">
        <w:t xml:space="preserve">in </w:t>
      </w:r>
      <w:r w:rsidR="00D479F6">
        <w:t>regular</w:t>
      </w:r>
      <w:r w:rsidR="003A30C5">
        <w:t xml:space="preserve"> Jewish marr</w:t>
      </w:r>
      <w:r w:rsidR="00D479F6">
        <w:t>iages both elements are at play</w:t>
      </w:r>
      <w:r w:rsidR="002E5197">
        <w:t>.</w:t>
      </w:r>
      <w:r w:rsidR="003A30C5">
        <w:t xml:space="preserve"> </w:t>
      </w:r>
      <w:r w:rsidR="00DF61E4">
        <w:t xml:space="preserve">In </w:t>
      </w:r>
      <w:r w:rsidR="003A30C5">
        <w:t>a non-Jewish marriage the</w:t>
      </w:r>
      <w:r w:rsidR="00D051CB">
        <w:t>re is a</w:t>
      </w:r>
      <w:r w:rsidR="003A30C5">
        <w:t xml:space="preserve"> </w:t>
      </w:r>
      <w:r w:rsidR="003A30C5" w:rsidRPr="00096EDE">
        <w:rPr>
          <w:i/>
          <w:iCs/>
        </w:rPr>
        <w:t>kinyan</w:t>
      </w:r>
      <w:r w:rsidR="003A30C5">
        <w:t xml:space="preserve"> to the </w:t>
      </w:r>
      <w:r w:rsidR="003A30C5" w:rsidRPr="00096EDE">
        <w:rPr>
          <w:i/>
          <w:iCs/>
        </w:rPr>
        <w:t>ba’al</w:t>
      </w:r>
      <w:r w:rsidR="003A30C5">
        <w:t xml:space="preserve"> even if she is not formally an </w:t>
      </w:r>
      <w:r w:rsidR="003A30C5" w:rsidRPr="00D479F6">
        <w:rPr>
          <w:i/>
        </w:rPr>
        <w:t>eshes ish</w:t>
      </w:r>
      <w:r w:rsidR="003A30C5">
        <w:t xml:space="preserve"> to others.</w:t>
      </w:r>
      <w:r w:rsidR="003A30C5">
        <w:rPr>
          <w:rStyle w:val="FootnoteReference"/>
        </w:rPr>
        <w:footnoteReference w:id="53"/>
      </w:r>
      <w:r w:rsidR="004C5744">
        <w:t xml:space="preserve"> </w:t>
      </w:r>
      <w:r w:rsidR="003A30C5">
        <w:t xml:space="preserve">He </w:t>
      </w:r>
      <w:r w:rsidR="00D051CB">
        <w:t xml:space="preserve">continues </w:t>
      </w:r>
      <w:r w:rsidR="003A30C5">
        <w:t xml:space="preserve">that </w:t>
      </w:r>
      <w:r w:rsidR="00855BB6">
        <w:t>t</w:t>
      </w:r>
      <w:r w:rsidR="003A30C5">
        <w:t xml:space="preserve">here is an element of </w:t>
      </w:r>
      <w:r w:rsidR="003A30C5" w:rsidRPr="00096EDE">
        <w:rPr>
          <w:i/>
          <w:iCs/>
        </w:rPr>
        <w:t>kinyan</w:t>
      </w:r>
      <w:r w:rsidR="003A30C5">
        <w:t xml:space="preserve"> even by a civil marriage</w:t>
      </w:r>
      <w:r w:rsidR="00D479F6">
        <w:t xml:space="preserve"> in the monetary sense</w:t>
      </w:r>
      <w:r w:rsidR="00855BB6">
        <w:t xml:space="preserve"> and a </w:t>
      </w:r>
      <w:r w:rsidR="00855BB6">
        <w:rPr>
          <w:i/>
        </w:rPr>
        <w:t xml:space="preserve">get </w:t>
      </w:r>
      <w:r w:rsidR="00855BB6">
        <w:t xml:space="preserve">is needed to extricate the woman from this </w:t>
      </w:r>
      <w:r w:rsidR="00855BB6" w:rsidRPr="00DF61E4">
        <w:rPr>
          <w:i/>
          <w:iCs/>
        </w:rPr>
        <w:t>kinyan</w:t>
      </w:r>
      <w:r w:rsidR="00855BB6">
        <w:t>.</w:t>
      </w:r>
      <w:r>
        <w:rPr>
          <w:rStyle w:val="FootnoteReference"/>
        </w:rPr>
        <w:footnoteReference w:id="54"/>
      </w:r>
      <w:r w:rsidR="004C5744">
        <w:t xml:space="preserve"> </w:t>
      </w:r>
    </w:p>
    <w:p w14:paraId="4A44FA49" w14:textId="6D16A9B8" w:rsidR="002A74EE" w:rsidRPr="00BC3C5D" w:rsidRDefault="00080682" w:rsidP="00DF61E4">
      <w:pPr>
        <w:jc w:val="both"/>
      </w:pPr>
      <w:r>
        <w:t>In responding to someone who adopt</w:t>
      </w:r>
      <w:r w:rsidR="00D051CB">
        <w:t>ed</w:t>
      </w:r>
      <w:r>
        <w:t xml:space="preserve"> this view, </w:t>
      </w:r>
      <w:r w:rsidR="00DF61E4">
        <w:t>t</w:t>
      </w:r>
      <w:r>
        <w:t>he Tzitz Eliezer</w:t>
      </w:r>
      <w:r>
        <w:rPr>
          <w:rStyle w:val="FootnoteReference"/>
        </w:rPr>
        <w:footnoteReference w:id="55"/>
      </w:r>
      <w:r>
        <w:t xml:space="preserve"> strongly dismisses the approach</w:t>
      </w:r>
      <w:r w:rsidR="002A74EE">
        <w:t xml:space="preserve"> </w:t>
      </w:r>
      <w:r w:rsidR="00D051CB">
        <w:t xml:space="preserve">of </w:t>
      </w:r>
      <w:r w:rsidR="002A74EE">
        <w:t xml:space="preserve">the Rogatchover as </w:t>
      </w:r>
      <w:r w:rsidR="002A74EE" w:rsidRPr="002A74EE">
        <w:rPr>
          <w:i/>
        </w:rPr>
        <w:t>halacha l’ma’aseh</w:t>
      </w:r>
      <w:r w:rsidR="002A74EE">
        <w:t>.</w:t>
      </w:r>
      <w:r>
        <w:t xml:space="preserve"> </w:t>
      </w:r>
      <w:r w:rsidR="002A74EE">
        <w:t>He says</w:t>
      </w:r>
      <w:r>
        <w:t xml:space="preserve"> that this</w:t>
      </w:r>
      <w:r w:rsidR="002A74EE">
        <w:t xml:space="preserve"> notion</w:t>
      </w:r>
      <w:r>
        <w:t xml:space="preserve"> uproots everything and</w:t>
      </w:r>
      <w:r w:rsidR="002A74EE">
        <w:t xml:space="preserve"> it</w:t>
      </w:r>
      <w:r>
        <w:t xml:space="preserve"> is </w:t>
      </w:r>
      <w:r>
        <w:rPr>
          <w:i/>
        </w:rPr>
        <w:t>mevatel</w:t>
      </w:r>
      <w:r>
        <w:t xml:space="preserve"> the whole of </w:t>
      </w:r>
      <w:r w:rsidRPr="002A74EE">
        <w:rPr>
          <w:i/>
        </w:rPr>
        <w:t>kiddushin</w:t>
      </w:r>
      <w:r>
        <w:t xml:space="preserve"> </w:t>
      </w:r>
      <w:r>
        <w:rPr>
          <w:i/>
        </w:rPr>
        <w:t>k’das Moshe V’Yisroel</w:t>
      </w:r>
      <w:r>
        <w:t xml:space="preserve"> to revert back to a pre-</w:t>
      </w:r>
      <w:r w:rsidRPr="00096EDE">
        <w:rPr>
          <w:i/>
          <w:iCs/>
        </w:rPr>
        <w:t>Matan Torah</w:t>
      </w:r>
      <w:r>
        <w:t xml:space="preserve"> model of marriage. This model, he argues, did not remain</w:t>
      </w:r>
      <w:r w:rsidR="002A74EE">
        <w:t xml:space="preserve"> halachically legitimate</w:t>
      </w:r>
      <w:r>
        <w:t xml:space="preserve"> post-</w:t>
      </w:r>
      <w:r w:rsidRPr="00096EDE">
        <w:rPr>
          <w:i/>
          <w:iCs/>
        </w:rPr>
        <w:t>Matan Torah</w:t>
      </w:r>
      <w:r w:rsidR="002A74EE">
        <w:t>,</w:t>
      </w:r>
      <w:r>
        <w:t xml:space="preserve"> as is easily implied from the words of the </w:t>
      </w:r>
      <w:r w:rsidRPr="00DF61E4">
        <w:t>Rambam</w:t>
      </w:r>
      <w:r>
        <w:t>.</w:t>
      </w:r>
      <w:r>
        <w:rPr>
          <w:rStyle w:val="FootnoteReference"/>
        </w:rPr>
        <w:footnoteReference w:id="56"/>
      </w:r>
      <w:r w:rsidR="00BC3C5D">
        <w:t xml:space="preserve"> It appears that the Rogatchover’s approach is not accepted </w:t>
      </w:r>
      <w:r w:rsidR="00BC3C5D">
        <w:rPr>
          <w:i/>
        </w:rPr>
        <w:t>l’hal</w:t>
      </w:r>
      <w:r w:rsidR="00DF61E4">
        <w:rPr>
          <w:i/>
        </w:rPr>
        <w:t>a</w:t>
      </w:r>
      <w:r w:rsidR="00BC3C5D">
        <w:rPr>
          <w:i/>
        </w:rPr>
        <w:t>cha</w:t>
      </w:r>
      <w:r w:rsidR="00BC3C5D">
        <w:t>.</w:t>
      </w:r>
      <w:r w:rsidR="001A739D">
        <w:rPr>
          <w:rStyle w:val="FootnoteReference"/>
        </w:rPr>
        <w:footnoteReference w:id="57"/>
      </w:r>
    </w:p>
    <w:p w14:paraId="534299F6" w14:textId="0D8952F8" w:rsidR="00FC2914" w:rsidRPr="004C5744" w:rsidRDefault="00731742" w:rsidP="008A641F">
      <w:pPr>
        <w:jc w:val="both"/>
      </w:pPr>
      <w:r>
        <w:t>No</w:t>
      </w:r>
      <w:r w:rsidR="002A74EE">
        <w:t>twithstanding the concerns noted</w:t>
      </w:r>
      <w:r>
        <w:t xml:space="preserve"> above, i</w:t>
      </w:r>
      <w:r w:rsidR="004C5744">
        <w:t>t would appear that in</w:t>
      </w:r>
      <w:r>
        <w:t xml:space="preserve"> a regular</w:t>
      </w:r>
      <w:r w:rsidR="004C5744">
        <w:t xml:space="preserve"> areligious</w:t>
      </w:r>
      <w:r>
        <w:t>/non-denominational</w:t>
      </w:r>
      <w:r w:rsidR="004C5744">
        <w:t xml:space="preserve"> civil marriage the position of the majority of </w:t>
      </w:r>
      <w:r w:rsidR="004C5744" w:rsidRPr="00096EDE">
        <w:rPr>
          <w:i/>
          <w:iCs/>
        </w:rPr>
        <w:t>poskim</w:t>
      </w:r>
      <w:r w:rsidR="004C5744">
        <w:rPr>
          <w:rStyle w:val="FootnoteReference"/>
        </w:rPr>
        <w:footnoteReference w:id="58"/>
      </w:r>
      <w:r w:rsidR="004C5744">
        <w:t xml:space="preserve"> is that a </w:t>
      </w:r>
      <w:r w:rsidR="004C5744">
        <w:rPr>
          <w:i/>
        </w:rPr>
        <w:t xml:space="preserve">get </w:t>
      </w:r>
      <w:r w:rsidR="004C5744">
        <w:t xml:space="preserve">is not needed </w:t>
      </w:r>
      <w:r w:rsidR="004C5744" w:rsidRPr="002A74EE">
        <w:rPr>
          <w:i/>
        </w:rPr>
        <w:t>me’ikar hadin</w:t>
      </w:r>
      <w:r w:rsidR="004C5744">
        <w:t xml:space="preserve"> but one is sought </w:t>
      </w:r>
      <w:r w:rsidR="00DF61E4">
        <w:rPr>
          <w:i/>
        </w:rPr>
        <w:t>l’</w:t>
      </w:r>
      <w:r w:rsidR="004C5744" w:rsidRPr="002A74EE">
        <w:rPr>
          <w:i/>
        </w:rPr>
        <w:t>chumra</w:t>
      </w:r>
      <w:r w:rsidR="002B0144">
        <w:t>.</w:t>
      </w:r>
      <w:r>
        <w:rPr>
          <w:rStyle w:val="FootnoteReference"/>
        </w:rPr>
        <w:footnoteReference w:id="59"/>
      </w:r>
      <w:r w:rsidR="00D77C01">
        <w:t xml:space="preserve"> </w:t>
      </w:r>
    </w:p>
    <w:p w14:paraId="3D194B3C" w14:textId="77777777" w:rsidR="004F723D" w:rsidRPr="00716CB3" w:rsidRDefault="002B0144" w:rsidP="008A641F">
      <w:pPr>
        <w:jc w:val="both"/>
        <w:rPr>
          <w:b/>
          <w:sz w:val="24"/>
          <w:szCs w:val="24"/>
        </w:rPr>
      </w:pPr>
      <w:r w:rsidRPr="00716CB3">
        <w:rPr>
          <w:b/>
          <w:sz w:val="24"/>
          <w:szCs w:val="24"/>
        </w:rPr>
        <w:lastRenderedPageBreak/>
        <w:t xml:space="preserve">The need for a </w:t>
      </w:r>
      <w:r w:rsidRPr="00716CB3">
        <w:rPr>
          <w:b/>
          <w:i/>
          <w:sz w:val="24"/>
          <w:szCs w:val="24"/>
        </w:rPr>
        <w:t xml:space="preserve">get </w:t>
      </w:r>
      <w:r w:rsidRPr="00716CB3">
        <w:rPr>
          <w:b/>
          <w:sz w:val="24"/>
          <w:szCs w:val="24"/>
        </w:rPr>
        <w:t>following a non-Orthodox ceremony</w:t>
      </w:r>
    </w:p>
    <w:p w14:paraId="0E68009C" w14:textId="00A7C85E" w:rsidR="00FB731D" w:rsidRPr="00FB731D" w:rsidRDefault="00FB731D" w:rsidP="00DF61E4">
      <w:pPr>
        <w:jc w:val="both"/>
      </w:pPr>
      <w:r>
        <w:t xml:space="preserve">Having discussed the </w:t>
      </w:r>
      <w:r w:rsidR="00DF61E4">
        <w:t xml:space="preserve">issue </w:t>
      </w:r>
      <w:r>
        <w:t xml:space="preserve">of </w:t>
      </w:r>
      <w:r>
        <w:rPr>
          <w:i/>
        </w:rPr>
        <w:t xml:space="preserve">gittin </w:t>
      </w:r>
      <w:r>
        <w:t>following marriage ceremonies which do not fulfil any of the requirements of a halachic marriage, we will move on to discuss non-Orthodox ’Jewish’ marriage ceremonies</w:t>
      </w:r>
      <w:r w:rsidR="00FF77D3">
        <w:t>.</w:t>
      </w:r>
    </w:p>
    <w:p w14:paraId="46EC22E9" w14:textId="35B164D2" w:rsidR="002B0144" w:rsidRDefault="005A4554" w:rsidP="00DF61E4">
      <w:pPr>
        <w:jc w:val="both"/>
      </w:pPr>
      <w:r>
        <w:t>R’ Moshe</w:t>
      </w:r>
      <w:r w:rsidR="00EB2ABE">
        <w:t xml:space="preserve"> states</w:t>
      </w:r>
      <w:r>
        <w:t xml:space="preserve"> any </w:t>
      </w:r>
      <w:r w:rsidR="00FF77D3">
        <w:t>R</w:t>
      </w:r>
      <w:r>
        <w:t>eform</w:t>
      </w:r>
      <w:r w:rsidR="00FF77D3">
        <w:t xml:space="preserve"> wedding</w:t>
      </w:r>
      <w:r>
        <w:t xml:space="preserve"> ceremony is overwhelmingly likely to not be halachically binding, especially in a ceremony</w:t>
      </w:r>
      <w:r w:rsidR="002A74EE">
        <w:t xml:space="preserve"> </w:t>
      </w:r>
      <w:r w:rsidR="00DF61E4">
        <w:t xml:space="preserve">in which the woman also gives a ring to the man </w:t>
      </w:r>
      <w:r w:rsidR="002A74EE">
        <w:t>(to which he takes particular exception)</w:t>
      </w:r>
      <w:r>
        <w:t xml:space="preserve">. </w:t>
      </w:r>
      <w:r w:rsidR="00D051CB">
        <w:t>Whereas t</w:t>
      </w:r>
      <w:r>
        <w:t xml:space="preserve">hose who have a civil ceremony are aware that they </w:t>
      </w:r>
      <w:r w:rsidR="00DB1DF2">
        <w:t>are not</w:t>
      </w:r>
      <w:r>
        <w:t xml:space="preserve"> married in the Jewish sense and there may be scope to suggest they subsequently want to get married religiously by way of </w:t>
      </w:r>
      <w:r w:rsidRPr="00CC38B2">
        <w:rPr>
          <w:i/>
        </w:rPr>
        <w:t>bi</w:t>
      </w:r>
      <w:r w:rsidR="00DF61E4">
        <w:rPr>
          <w:i/>
        </w:rPr>
        <w:t>’</w:t>
      </w:r>
      <w:r w:rsidRPr="00CC38B2">
        <w:rPr>
          <w:i/>
        </w:rPr>
        <w:t>ah</w:t>
      </w:r>
      <w:r>
        <w:t xml:space="preserve">, the same is not the case </w:t>
      </w:r>
      <w:r w:rsidR="00DF61E4">
        <w:t>with</w:t>
      </w:r>
      <w:r>
        <w:t xml:space="preserve"> a </w:t>
      </w:r>
      <w:r w:rsidR="00FF77D3">
        <w:t>R</w:t>
      </w:r>
      <w:r>
        <w:t>eform marriage where participants erroneously believe they are getting married accordingly to the Jewish tradition.</w:t>
      </w:r>
      <w:r>
        <w:rPr>
          <w:rStyle w:val="FootnoteReference"/>
        </w:rPr>
        <w:footnoteReference w:id="60"/>
      </w:r>
      <w:r w:rsidR="00EB2ABE">
        <w:t xml:space="preserve"> </w:t>
      </w:r>
    </w:p>
    <w:p w14:paraId="6C040DFF" w14:textId="1005BBCC" w:rsidR="00EB28C0" w:rsidRDefault="00EB2ABE" w:rsidP="00DF61E4">
      <w:pPr>
        <w:jc w:val="both"/>
      </w:pPr>
      <w:r>
        <w:t>Elsewhere</w:t>
      </w:r>
      <w:r>
        <w:rPr>
          <w:rStyle w:val="FootnoteReference"/>
        </w:rPr>
        <w:footnoteReference w:id="61"/>
      </w:r>
      <w:r>
        <w:t>, R’ Moshe discusses a marriage ceremony under a Conservative rabbi</w:t>
      </w:r>
      <w:r w:rsidR="00605330">
        <w:t xml:space="preserve"> where he does entertain the po</w:t>
      </w:r>
      <w:r w:rsidR="00CC38B2">
        <w:t>ssibility that the actual conten</w:t>
      </w:r>
      <w:r w:rsidR="00605330">
        <w:t>t of the ceremony includes a declaration from the husband of ‘</w:t>
      </w:r>
      <w:r w:rsidR="00605330" w:rsidRPr="00CC38B2">
        <w:rPr>
          <w:i/>
        </w:rPr>
        <w:t>harei at m</w:t>
      </w:r>
      <w:r w:rsidR="00DF61E4">
        <w:rPr>
          <w:i/>
        </w:rPr>
        <w:t>’</w:t>
      </w:r>
      <w:r w:rsidR="00605330" w:rsidRPr="00CC38B2">
        <w:rPr>
          <w:i/>
        </w:rPr>
        <w:t>kudeshes li</w:t>
      </w:r>
      <w:r w:rsidR="00605330">
        <w:t>’</w:t>
      </w:r>
      <w:r w:rsidR="0095127E">
        <w:t xml:space="preserve"> with him passing her a ring. Although he takes it for granted that the Conservative rabbi is not a fit </w:t>
      </w:r>
      <w:r w:rsidR="0095127E">
        <w:rPr>
          <w:i/>
        </w:rPr>
        <w:t>eid</w:t>
      </w:r>
      <w:r w:rsidR="0095127E">
        <w:t xml:space="preserve"> (even if </w:t>
      </w:r>
      <w:r w:rsidR="00CC38B2">
        <w:t>he is</w:t>
      </w:r>
      <w:r w:rsidR="0095127E">
        <w:t xml:space="preserve"> </w:t>
      </w:r>
      <w:r w:rsidR="0095127E" w:rsidRPr="00CC38B2">
        <w:rPr>
          <w:i/>
        </w:rPr>
        <w:t>shomer Torah</w:t>
      </w:r>
      <w:r w:rsidR="0095127E">
        <w:t xml:space="preserve"> and </w:t>
      </w:r>
      <w:r w:rsidR="0095127E" w:rsidRPr="00CC38B2">
        <w:rPr>
          <w:i/>
        </w:rPr>
        <w:t>mitzvos</w:t>
      </w:r>
      <w:r w:rsidR="0095127E">
        <w:t>) and neither are any appointed witnesses</w:t>
      </w:r>
      <w:r w:rsidR="00EB28C0">
        <w:t xml:space="preserve"> likely to be, he does pose that if there are two kosher </w:t>
      </w:r>
      <w:r w:rsidR="00EB28C0" w:rsidRPr="00CC38B2">
        <w:rPr>
          <w:i/>
        </w:rPr>
        <w:t>eidim</w:t>
      </w:r>
      <w:r w:rsidR="00EB28C0">
        <w:t xml:space="preserve"> present, for whatever reason, there may be a possibility that the </w:t>
      </w:r>
      <w:r w:rsidR="00EB28C0" w:rsidRPr="00CC38B2">
        <w:rPr>
          <w:i/>
        </w:rPr>
        <w:t>kiddushin</w:t>
      </w:r>
      <w:r w:rsidR="00EB28C0">
        <w:t xml:space="preserve"> stands.</w:t>
      </w:r>
      <w:r w:rsidR="003E13DE">
        <w:rPr>
          <w:rStyle w:val="FootnoteReference"/>
        </w:rPr>
        <w:footnoteReference w:id="62"/>
      </w:r>
      <w:r w:rsidR="00EB28C0">
        <w:t xml:space="preserve"> In order to understand this, we will need to</w:t>
      </w:r>
      <w:r w:rsidR="00CC38B2">
        <w:t xml:space="preserve"> briefly</w:t>
      </w:r>
      <w:r w:rsidR="00EB28C0">
        <w:t xml:space="preserve"> digress and discuss a principle of </w:t>
      </w:r>
      <w:r w:rsidR="00EB28C0" w:rsidRPr="00CC38B2">
        <w:rPr>
          <w:i/>
        </w:rPr>
        <w:t>eidus</w:t>
      </w:r>
      <w:r w:rsidR="00EB28C0">
        <w:t>.</w:t>
      </w:r>
    </w:p>
    <w:p w14:paraId="15930871" w14:textId="77777777" w:rsidR="00043851" w:rsidRPr="00DF61E4" w:rsidRDefault="00C47C80" w:rsidP="008A641F">
      <w:pPr>
        <w:jc w:val="both"/>
        <w:rPr>
          <w:b/>
          <w:i/>
          <w:iCs/>
        </w:rPr>
      </w:pPr>
      <w:r w:rsidRPr="00DF61E4">
        <w:rPr>
          <w:b/>
          <w:i/>
          <w:iCs/>
        </w:rPr>
        <w:t>Nimtzah</w:t>
      </w:r>
      <w:r w:rsidR="00043851" w:rsidRPr="00DF61E4">
        <w:rPr>
          <w:b/>
          <w:i/>
          <w:iCs/>
        </w:rPr>
        <w:t xml:space="preserve"> Echad Karov O’ Passul</w:t>
      </w:r>
    </w:p>
    <w:p w14:paraId="44B7873B" w14:textId="4B55B006" w:rsidR="00232E58" w:rsidRDefault="00187108" w:rsidP="00D64030">
      <w:pPr>
        <w:jc w:val="both"/>
      </w:pPr>
      <w:r>
        <w:t xml:space="preserve">The </w:t>
      </w:r>
      <w:r w:rsidRPr="00CC38B2">
        <w:rPr>
          <w:i/>
        </w:rPr>
        <w:t>Mishna</w:t>
      </w:r>
      <w:r>
        <w:t xml:space="preserve"> in </w:t>
      </w:r>
      <w:r w:rsidRPr="00D64030">
        <w:rPr>
          <w:iCs/>
        </w:rPr>
        <w:t>Makkos</w:t>
      </w:r>
      <w:r>
        <w:rPr>
          <w:rStyle w:val="FootnoteReference"/>
        </w:rPr>
        <w:footnoteReference w:id="63"/>
      </w:r>
      <w:r w:rsidR="00306EB9">
        <w:t xml:space="preserve"> </w:t>
      </w:r>
      <w:r w:rsidR="00D64030">
        <w:t xml:space="preserve">says </w:t>
      </w:r>
      <w:r w:rsidR="003E13DE">
        <w:t xml:space="preserve">that if one of a group of </w:t>
      </w:r>
      <w:r w:rsidR="003E13DE" w:rsidRPr="00CC38B2">
        <w:rPr>
          <w:i/>
        </w:rPr>
        <w:t>eidi</w:t>
      </w:r>
      <w:r w:rsidR="00306EB9" w:rsidRPr="00CC38B2">
        <w:rPr>
          <w:i/>
        </w:rPr>
        <w:t>m</w:t>
      </w:r>
      <w:r w:rsidR="00306EB9">
        <w:t xml:space="preserve"> is found to be a relative (to another in the group) or </w:t>
      </w:r>
      <w:r w:rsidR="00306EB9" w:rsidRPr="00CC38B2">
        <w:rPr>
          <w:i/>
        </w:rPr>
        <w:t>pa</w:t>
      </w:r>
      <w:r w:rsidR="00D64030">
        <w:rPr>
          <w:i/>
        </w:rPr>
        <w:t>s</w:t>
      </w:r>
      <w:r w:rsidR="00306EB9" w:rsidRPr="00CC38B2">
        <w:rPr>
          <w:i/>
        </w:rPr>
        <w:t>sul</w:t>
      </w:r>
      <w:r w:rsidR="00306EB9">
        <w:t>, the entire testimo</w:t>
      </w:r>
      <w:r w:rsidR="00CC38B2">
        <w:t>ny is deemed to be inadmissible.</w:t>
      </w:r>
      <w:r w:rsidR="00306EB9">
        <w:t xml:space="preserve"> </w:t>
      </w:r>
      <w:r w:rsidR="00306EB9" w:rsidRPr="009736CF">
        <w:t>Rebbi</w:t>
      </w:r>
      <w:r w:rsidR="00CC38B2">
        <w:t xml:space="preserve"> (whom </w:t>
      </w:r>
      <w:r w:rsidR="00D64030">
        <w:t>Rambam</w:t>
      </w:r>
      <w:r w:rsidR="00CC38B2">
        <w:t xml:space="preserve"> </w:t>
      </w:r>
      <w:r w:rsidR="00CC38B2">
        <w:rPr>
          <w:i/>
        </w:rPr>
        <w:t>pasken</w:t>
      </w:r>
      <w:r w:rsidR="00D64030">
        <w:rPr>
          <w:i/>
        </w:rPr>
        <w:t>s</w:t>
      </w:r>
      <w:r w:rsidR="00CC38B2">
        <w:rPr>
          <w:i/>
        </w:rPr>
        <w:t xml:space="preserve"> </w:t>
      </w:r>
      <w:r w:rsidR="00CC38B2">
        <w:t>like)</w:t>
      </w:r>
      <w:r w:rsidR="00A94405">
        <w:rPr>
          <w:rStyle w:val="FootnoteReference"/>
        </w:rPr>
        <w:footnoteReference w:id="64"/>
      </w:r>
      <w:r w:rsidR="00CC38B2">
        <w:t xml:space="preserve"> stipulates</w:t>
      </w:r>
      <w:r w:rsidR="00306EB9">
        <w:t xml:space="preserve"> </w:t>
      </w:r>
      <w:r w:rsidR="00CC38B2">
        <w:t>that this rule applies</w:t>
      </w:r>
      <w:r w:rsidR="00306EB9">
        <w:t xml:space="preserve"> only in the event that the group</w:t>
      </w:r>
      <w:r w:rsidR="00D051CB">
        <w:t xml:space="preserve"> formally</w:t>
      </w:r>
      <w:r w:rsidR="00306EB9">
        <w:t xml:space="preserve"> </w:t>
      </w:r>
      <w:r w:rsidR="00D051CB">
        <w:t xml:space="preserve">joined </w:t>
      </w:r>
      <w:r w:rsidR="00306EB9">
        <w:t>together</w:t>
      </w:r>
      <w:r w:rsidR="00CC38B2">
        <w:t xml:space="preserve"> in order</w:t>
      </w:r>
      <w:r w:rsidR="00306EB9">
        <w:t xml:space="preserve"> to testify</w:t>
      </w:r>
      <w:r w:rsidR="00FF77D3">
        <w:t>.</w:t>
      </w:r>
      <w:r w:rsidR="00306EB9">
        <w:t xml:space="preserve"> </w:t>
      </w:r>
      <w:r w:rsidR="00FF77D3">
        <w:t>H</w:t>
      </w:r>
      <w:r w:rsidR="00306EB9">
        <w:t>owever</w:t>
      </w:r>
      <w:r w:rsidR="00D64030">
        <w:t>,</w:t>
      </w:r>
      <w:r w:rsidR="00306EB9">
        <w:t xml:space="preserve"> if they did not</w:t>
      </w:r>
      <w:r w:rsidR="00D051CB">
        <w:t>, but rather happened to see the same act at the same time</w:t>
      </w:r>
      <w:r w:rsidR="00D64030">
        <w:t>,</w:t>
      </w:r>
      <w:r w:rsidR="00306EB9">
        <w:t xml:space="preserve"> ‘what are two brothers to do just because they ha</w:t>
      </w:r>
      <w:r w:rsidR="00232E58">
        <w:t>ppened to see something together?’</w:t>
      </w:r>
      <w:r w:rsidR="00D64030">
        <w:t xml:space="preserve"> </w:t>
      </w:r>
      <w:r w:rsidR="00FF77D3">
        <w:t>T</w:t>
      </w:r>
      <w:r w:rsidR="00232E58" w:rsidRPr="00BE289F">
        <w:t xml:space="preserve">here is therefore no automatic problem with relatives merely seeing something for which there is a requirement of </w:t>
      </w:r>
      <w:r w:rsidR="00232E58" w:rsidRPr="00CC38B2">
        <w:rPr>
          <w:i/>
        </w:rPr>
        <w:t>eidus</w:t>
      </w:r>
      <w:r w:rsidR="00232E58" w:rsidRPr="00BE289F">
        <w:t xml:space="preserve">, so long as they are not the designated </w:t>
      </w:r>
      <w:r w:rsidR="00232E58" w:rsidRPr="00CC38B2">
        <w:rPr>
          <w:i/>
        </w:rPr>
        <w:t>eidim</w:t>
      </w:r>
      <w:r w:rsidR="00232E58" w:rsidRPr="00BE289F">
        <w:t>.</w:t>
      </w:r>
    </w:p>
    <w:p w14:paraId="4FCBB468" w14:textId="34F40845" w:rsidR="007C2AC7" w:rsidRDefault="007C2AC7" w:rsidP="00D64030">
      <w:pPr>
        <w:jc w:val="both"/>
      </w:pPr>
      <w:r>
        <w:t xml:space="preserve">There is a </w:t>
      </w:r>
      <w:r w:rsidRPr="00CC38B2">
        <w:rPr>
          <w:i/>
        </w:rPr>
        <w:t>machlokes</w:t>
      </w:r>
      <w:r>
        <w:t xml:space="preserve"> in the </w:t>
      </w:r>
      <w:r w:rsidRPr="00096EDE">
        <w:rPr>
          <w:i/>
          <w:iCs/>
        </w:rPr>
        <w:t>Rishonim</w:t>
      </w:r>
      <w:r>
        <w:t xml:space="preserve"> </w:t>
      </w:r>
      <w:r w:rsidR="00FF77D3">
        <w:t>regarding</w:t>
      </w:r>
      <w:r>
        <w:t xml:space="preserve"> the extent</w:t>
      </w:r>
      <w:r w:rsidR="00785688">
        <w:t xml:space="preserve"> to which we apply this </w:t>
      </w:r>
      <w:r w:rsidR="00785688">
        <w:rPr>
          <w:i/>
        </w:rPr>
        <w:t>din</w:t>
      </w:r>
      <w:r w:rsidR="00785688">
        <w:t xml:space="preserve">. </w:t>
      </w:r>
      <w:r w:rsidR="00785688" w:rsidRPr="009736CF">
        <w:t>Rosh</w:t>
      </w:r>
      <w:r w:rsidR="00785688">
        <w:t xml:space="preserve"> explains</w:t>
      </w:r>
      <w:r w:rsidR="00785688">
        <w:rPr>
          <w:rStyle w:val="FootnoteReference"/>
        </w:rPr>
        <w:footnoteReference w:id="65"/>
      </w:r>
      <w:r>
        <w:t xml:space="preserve"> </w:t>
      </w:r>
      <w:r w:rsidR="00785688">
        <w:t xml:space="preserve">that we only say that one witness can ruin the testimony in the event that they proactively come to </w:t>
      </w:r>
      <w:r w:rsidR="00785688" w:rsidRPr="00CC38B2">
        <w:rPr>
          <w:i/>
        </w:rPr>
        <w:t>beis din</w:t>
      </w:r>
      <w:r w:rsidR="00785688">
        <w:t xml:space="preserve"> to testify, not if they happen to just see an event</w:t>
      </w:r>
      <w:r w:rsidR="00CC38B2">
        <w:t xml:space="preserve"> (regardless of their intention when viewing this event)</w:t>
      </w:r>
      <w:r w:rsidR="00785688">
        <w:t>. This is als</w:t>
      </w:r>
      <w:r w:rsidR="00BF4913">
        <w:t xml:space="preserve">o the view of </w:t>
      </w:r>
      <w:r w:rsidR="00BF4913" w:rsidRPr="00D64030">
        <w:t>Tosfos</w:t>
      </w:r>
      <w:r w:rsidR="00BF4913">
        <w:t>, who note</w:t>
      </w:r>
      <w:r w:rsidR="00785688">
        <w:t xml:space="preserve"> that it is commonplace to give a </w:t>
      </w:r>
      <w:r w:rsidR="00785688">
        <w:rPr>
          <w:i/>
        </w:rPr>
        <w:t>get</w:t>
      </w:r>
      <w:r w:rsidR="00CC38B2">
        <w:t xml:space="preserve"> in front of relatives and there is no concern that they </w:t>
      </w:r>
      <w:r w:rsidR="0013729F">
        <w:t xml:space="preserve">should constitute </w:t>
      </w:r>
      <w:r w:rsidR="0013729F">
        <w:rPr>
          <w:i/>
        </w:rPr>
        <w:t>k’rovim</w:t>
      </w:r>
      <w:r w:rsidR="0013729F">
        <w:t xml:space="preserve"> so as to place this process into doubt as to its halachic validity</w:t>
      </w:r>
      <w:r w:rsidR="00785688">
        <w:t>.</w:t>
      </w:r>
      <w:r w:rsidR="00785688">
        <w:rPr>
          <w:rStyle w:val="FootnoteReference"/>
        </w:rPr>
        <w:footnoteReference w:id="66"/>
      </w:r>
    </w:p>
    <w:p w14:paraId="54D4C8AE" w14:textId="12B588D2" w:rsidR="00BF4913" w:rsidRDefault="00BF4913" w:rsidP="00D64030">
      <w:pPr>
        <w:jc w:val="both"/>
      </w:pPr>
      <w:r>
        <w:lastRenderedPageBreak/>
        <w:t xml:space="preserve">The view of the </w:t>
      </w:r>
      <w:r w:rsidRPr="009736CF">
        <w:t>Rashbam</w:t>
      </w:r>
      <w:r w:rsidR="00D256EF">
        <w:rPr>
          <w:rStyle w:val="FootnoteReference"/>
        </w:rPr>
        <w:footnoteReference w:id="67"/>
      </w:r>
      <w:r>
        <w:t xml:space="preserve">, however, is that </w:t>
      </w:r>
      <w:r w:rsidR="00D256EF">
        <w:t>if</w:t>
      </w:r>
      <w:r w:rsidR="00D051CB">
        <w:t xml:space="preserve"> </w:t>
      </w:r>
      <w:r w:rsidR="00D256EF">
        <w:t xml:space="preserve">the initial intention of the </w:t>
      </w:r>
      <w:r w:rsidR="00D256EF" w:rsidRPr="0013729F">
        <w:rPr>
          <w:i/>
        </w:rPr>
        <w:t>karov</w:t>
      </w:r>
      <w:r w:rsidR="00D256EF">
        <w:t xml:space="preserve"> or </w:t>
      </w:r>
      <w:r w:rsidR="00D256EF" w:rsidRPr="0013729F">
        <w:rPr>
          <w:i/>
        </w:rPr>
        <w:t>pa</w:t>
      </w:r>
      <w:r w:rsidR="00D64030">
        <w:rPr>
          <w:i/>
        </w:rPr>
        <w:t>s</w:t>
      </w:r>
      <w:r w:rsidR="00D256EF" w:rsidRPr="0013729F">
        <w:rPr>
          <w:i/>
        </w:rPr>
        <w:t>sul</w:t>
      </w:r>
      <w:r w:rsidR="00D256EF">
        <w:t xml:space="preserve"> was to see an event for the purpose of testifying in front of </w:t>
      </w:r>
      <w:r w:rsidR="00D256EF" w:rsidRPr="0013729F">
        <w:rPr>
          <w:i/>
        </w:rPr>
        <w:t>beis din</w:t>
      </w:r>
      <w:r w:rsidR="00D256EF">
        <w:t xml:space="preserve">, </w:t>
      </w:r>
      <w:r w:rsidR="00D051CB">
        <w:t xml:space="preserve">even </w:t>
      </w:r>
      <w:r w:rsidR="00D256EF">
        <w:t>if they do not come forward</w:t>
      </w:r>
      <w:r w:rsidR="00D64030">
        <w:t xml:space="preserve"> to testify at any point</w:t>
      </w:r>
      <w:r w:rsidR="00D256EF">
        <w:t>, that would be enough to jeopardise the entire testimony</w:t>
      </w:r>
      <w:r w:rsidR="00C26B6D">
        <w:t>.</w:t>
      </w:r>
      <w:r w:rsidR="00D256EF">
        <w:rPr>
          <w:rStyle w:val="FootnoteReference"/>
        </w:rPr>
        <w:footnoteReference w:id="68"/>
      </w:r>
      <w:r w:rsidR="0013729F">
        <w:t xml:space="preserve"> </w:t>
      </w:r>
      <w:r w:rsidR="00D0349C">
        <w:t xml:space="preserve">The </w:t>
      </w:r>
      <w:r w:rsidR="00D0349C" w:rsidRPr="009736CF">
        <w:t>Kessef Mishna</w:t>
      </w:r>
      <w:r w:rsidR="00D0349C">
        <w:rPr>
          <w:rStyle w:val="FootnoteReference"/>
        </w:rPr>
        <w:footnoteReference w:id="69"/>
      </w:r>
      <w:r w:rsidR="00D0349C">
        <w:t xml:space="preserve"> assumes that this is the view of the </w:t>
      </w:r>
      <w:r w:rsidR="00D0349C" w:rsidRPr="009736CF">
        <w:t>Rambam</w:t>
      </w:r>
      <w:r w:rsidR="00D0349C">
        <w:t xml:space="preserve"> too.</w:t>
      </w:r>
    </w:p>
    <w:p w14:paraId="02239F52" w14:textId="0F7FDA02" w:rsidR="008F4FCE" w:rsidRPr="008F4FCE" w:rsidRDefault="008F4FCE" w:rsidP="00D64030">
      <w:pPr>
        <w:jc w:val="both"/>
      </w:pPr>
      <w:r>
        <w:t xml:space="preserve">The </w:t>
      </w:r>
      <w:r w:rsidRPr="00F32037">
        <w:t>Shulchan Aruch</w:t>
      </w:r>
      <w:r>
        <w:t xml:space="preserve"> </w:t>
      </w:r>
      <w:r w:rsidR="00D64030">
        <w:t>quotes</w:t>
      </w:r>
      <w:r>
        <w:t xml:space="preserve"> both of the above view</w:t>
      </w:r>
      <w:r w:rsidR="003676C1">
        <w:t>s</w:t>
      </w:r>
      <w:r>
        <w:t xml:space="preserve">, with that of the </w:t>
      </w:r>
      <w:r w:rsidRPr="00F32037">
        <w:t>Rambam</w:t>
      </w:r>
      <w:r>
        <w:t xml:space="preserve"> as </w:t>
      </w:r>
      <w:r>
        <w:rPr>
          <w:i/>
        </w:rPr>
        <w:t>s</w:t>
      </w:r>
      <w:r w:rsidR="00D64030">
        <w:rPr>
          <w:i/>
        </w:rPr>
        <w:t>’</w:t>
      </w:r>
      <w:r>
        <w:rPr>
          <w:i/>
        </w:rPr>
        <w:t>tam</w:t>
      </w:r>
      <w:r>
        <w:t xml:space="preserve"> and that of the </w:t>
      </w:r>
      <w:r w:rsidRPr="00096EDE">
        <w:rPr>
          <w:iCs/>
        </w:rPr>
        <w:t>Rosh</w:t>
      </w:r>
      <w:r>
        <w:t xml:space="preserve"> as a </w:t>
      </w:r>
      <w:r>
        <w:rPr>
          <w:i/>
        </w:rPr>
        <w:t>ye</w:t>
      </w:r>
      <w:r>
        <w:rPr>
          <w:i/>
        </w:rPr>
        <w:t>i</w:t>
      </w:r>
      <w:r>
        <w:rPr>
          <w:i/>
        </w:rPr>
        <w:t>sh omrim</w:t>
      </w:r>
      <w:r>
        <w:t>.</w:t>
      </w:r>
      <w:r>
        <w:rPr>
          <w:rStyle w:val="FootnoteReference"/>
        </w:rPr>
        <w:footnoteReference w:id="70"/>
      </w:r>
    </w:p>
    <w:p w14:paraId="2BA3B3AE" w14:textId="77777777" w:rsidR="00415F85" w:rsidRPr="00716CB3" w:rsidRDefault="00043851" w:rsidP="008A641F">
      <w:pPr>
        <w:jc w:val="both"/>
        <w:rPr>
          <w:b/>
          <w:bCs/>
        </w:rPr>
      </w:pPr>
      <w:r w:rsidRPr="00716CB3">
        <w:rPr>
          <w:b/>
          <w:bCs/>
          <w:i/>
          <w:iCs/>
        </w:rPr>
        <w:t>Yichud Ha’eidim</w:t>
      </w:r>
      <w:r w:rsidRPr="00716CB3">
        <w:rPr>
          <w:b/>
          <w:bCs/>
        </w:rPr>
        <w:t xml:space="preserve"> at weddings</w:t>
      </w:r>
    </w:p>
    <w:p w14:paraId="4230D81B" w14:textId="69ADDA3E" w:rsidR="00F84425" w:rsidRDefault="00043851" w:rsidP="00DA107D">
      <w:pPr>
        <w:jc w:val="both"/>
      </w:pPr>
      <w:r>
        <w:t xml:space="preserve">In the context of </w:t>
      </w:r>
      <w:r w:rsidRPr="0013729F">
        <w:rPr>
          <w:i/>
        </w:rPr>
        <w:t>eidei kiddushin</w:t>
      </w:r>
      <w:r w:rsidR="00584936">
        <w:t>,</w:t>
      </w:r>
      <w:r>
        <w:t xml:space="preserve"> </w:t>
      </w:r>
      <w:r w:rsidR="00415F85">
        <w:t xml:space="preserve">there is a requirement for the </w:t>
      </w:r>
      <w:r w:rsidR="00415F85" w:rsidRPr="0013729F">
        <w:rPr>
          <w:i/>
        </w:rPr>
        <w:t>eidim</w:t>
      </w:r>
      <w:r w:rsidR="00415F85">
        <w:t xml:space="preserve"> not merely to witness what is taking place </w:t>
      </w:r>
      <w:r w:rsidR="00D051CB">
        <w:t xml:space="preserve">in order </w:t>
      </w:r>
      <w:r w:rsidR="00415F85">
        <w:t xml:space="preserve">to prove it </w:t>
      </w:r>
      <w:r w:rsidR="0013729F">
        <w:t>subsequently</w:t>
      </w:r>
      <w:r w:rsidR="00FF77D3">
        <w:t>,</w:t>
      </w:r>
      <w:r w:rsidR="00D051CB">
        <w:t xml:space="preserve"> but</w:t>
      </w:r>
      <w:r w:rsidR="00415F85">
        <w:t xml:space="preserve"> rather </w:t>
      </w:r>
      <w:r w:rsidR="00D051CB">
        <w:t xml:space="preserve">as </w:t>
      </w:r>
      <w:r w:rsidR="00415F85">
        <w:rPr>
          <w:i/>
        </w:rPr>
        <w:t>eidim l’kiyum hadavar</w:t>
      </w:r>
      <w:r w:rsidR="00DA107D">
        <w:rPr>
          <w:i/>
        </w:rPr>
        <w:t xml:space="preserve"> </w:t>
      </w:r>
      <w:r w:rsidR="00DA107D">
        <w:rPr>
          <w:iCs/>
        </w:rPr>
        <w:t>(</w:t>
      </w:r>
      <w:r w:rsidR="00DA107D">
        <w:rPr>
          <w:i/>
        </w:rPr>
        <w:t>eidim</w:t>
      </w:r>
      <w:r w:rsidR="00DA107D">
        <w:rPr>
          <w:iCs/>
        </w:rPr>
        <w:t xml:space="preserve"> who are necessary for the action to take effect)</w:t>
      </w:r>
      <w:r>
        <w:t>.</w:t>
      </w:r>
      <w:r w:rsidR="00DA107D" w:rsidRPr="00DA107D">
        <w:rPr>
          <w:rStyle w:val="FootnoteReference"/>
          <w:iCs/>
        </w:rPr>
        <w:footnoteReference w:id="71"/>
      </w:r>
      <w:r>
        <w:t xml:space="preserve"> T</w:t>
      </w:r>
      <w:r w:rsidR="00584936">
        <w:t xml:space="preserve">he </w:t>
      </w:r>
      <w:r w:rsidR="00584936" w:rsidRPr="00F32037">
        <w:t>Shulchan Aruch</w:t>
      </w:r>
      <w:r w:rsidR="00584936">
        <w:rPr>
          <w:rStyle w:val="FootnoteReference"/>
        </w:rPr>
        <w:footnoteReference w:id="72"/>
      </w:r>
      <w:r w:rsidR="00584936">
        <w:t xml:space="preserve"> states that </w:t>
      </w:r>
      <w:r w:rsidR="00584936" w:rsidRPr="00096EDE">
        <w:rPr>
          <w:i/>
          <w:iCs/>
        </w:rPr>
        <w:t>eidim</w:t>
      </w:r>
      <w:r w:rsidR="00584936">
        <w:t xml:space="preserve"> are effective even i</w:t>
      </w:r>
      <w:r w:rsidR="0013729F">
        <w:t xml:space="preserve">f they are not specified. The </w:t>
      </w:r>
      <w:r w:rsidR="0013729F" w:rsidRPr="00F32037">
        <w:t>Re</w:t>
      </w:r>
      <w:r w:rsidR="00584936" w:rsidRPr="00F32037">
        <w:t>ma</w:t>
      </w:r>
      <w:r w:rsidR="00584936">
        <w:t xml:space="preserve"> there</w:t>
      </w:r>
      <w:r>
        <w:t xml:space="preserve"> takes this one step further, quoting</w:t>
      </w:r>
      <w:r w:rsidR="00584936">
        <w:t xml:space="preserve"> the </w:t>
      </w:r>
      <w:r w:rsidR="00584936" w:rsidRPr="00F32037">
        <w:t>Rivash</w:t>
      </w:r>
      <w:r w:rsidR="00584936">
        <w:t xml:space="preserve">, who states that even if one specifies particular </w:t>
      </w:r>
      <w:r w:rsidR="00584936" w:rsidRPr="0013729F">
        <w:rPr>
          <w:i/>
        </w:rPr>
        <w:t>eidim</w:t>
      </w:r>
      <w:r w:rsidR="00584936">
        <w:t>, others who also saw the eve</w:t>
      </w:r>
      <w:r w:rsidR="00973E69">
        <w:t xml:space="preserve">nt are able to testify about it. With the </w:t>
      </w:r>
      <w:r w:rsidR="007B542D" w:rsidRPr="00096EDE">
        <w:t>Rema</w:t>
      </w:r>
      <w:r w:rsidR="007B542D">
        <w:t xml:space="preserve"> </w:t>
      </w:r>
      <w:r w:rsidR="00973E69">
        <w:t xml:space="preserve">in mind, it would seem that there would be sufficient cause for concern if a wedding under the auspices of a non-Orthodox movement were to be halachically valid and performed with two halachically legitimate </w:t>
      </w:r>
      <w:r w:rsidR="00973E69" w:rsidRPr="0013729F">
        <w:rPr>
          <w:i/>
        </w:rPr>
        <w:t>eidim</w:t>
      </w:r>
      <w:r w:rsidR="00973E69">
        <w:t xml:space="preserve"> in the audience.</w:t>
      </w:r>
      <w:r w:rsidR="00CA69A8">
        <w:rPr>
          <w:rStyle w:val="FootnoteReference"/>
        </w:rPr>
        <w:footnoteReference w:id="73"/>
      </w:r>
      <w:r w:rsidR="00F84425">
        <w:t xml:space="preserve"> </w:t>
      </w:r>
    </w:p>
    <w:p w14:paraId="66DF4FA2" w14:textId="7F3D7899" w:rsidR="00D044E9" w:rsidRPr="00183B43" w:rsidRDefault="00D044E9" w:rsidP="00DA107D">
      <w:pPr>
        <w:jc w:val="both"/>
      </w:pPr>
      <w:r>
        <w:t xml:space="preserve">The </w:t>
      </w:r>
      <w:r w:rsidRPr="00F32037">
        <w:t>Pischei T’shuva</w:t>
      </w:r>
      <w:r>
        <w:rPr>
          <w:rStyle w:val="FootnoteReference"/>
        </w:rPr>
        <w:footnoteReference w:id="74"/>
      </w:r>
      <w:r>
        <w:t xml:space="preserve"> states that</w:t>
      </w:r>
      <w:r w:rsidR="00183B43">
        <w:t xml:space="preserve"> (in accordance with the Rema)</w:t>
      </w:r>
      <w:r>
        <w:t xml:space="preserve"> even if people only came to watch the ceremony (i.e. as guests) and had no intention to testify, nonetheless they are </w:t>
      </w:r>
      <w:r w:rsidRPr="0013729F">
        <w:rPr>
          <w:i/>
        </w:rPr>
        <w:t>eidim</w:t>
      </w:r>
      <w:r>
        <w:t xml:space="preserve"> and the couple can be </w:t>
      </w:r>
      <w:r w:rsidRPr="0013729F">
        <w:rPr>
          <w:i/>
        </w:rPr>
        <w:t>m</w:t>
      </w:r>
      <w:r w:rsidR="00DA107D">
        <w:rPr>
          <w:i/>
        </w:rPr>
        <w:t>’</w:t>
      </w:r>
      <w:r w:rsidRPr="0013729F">
        <w:rPr>
          <w:i/>
        </w:rPr>
        <w:t>kudeshes</w:t>
      </w:r>
      <w:r>
        <w:t xml:space="preserve"> on </w:t>
      </w:r>
      <w:r w:rsidR="0013729F">
        <w:t>this basis</w:t>
      </w:r>
      <w:r>
        <w:t>.</w:t>
      </w:r>
      <w:r w:rsidR="002B478F">
        <w:t xml:space="preserve"> He cites the aforementioned </w:t>
      </w:r>
      <w:r w:rsidR="002B478F">
        <w:rPr>
          <w:i/>
        </w:rPr>
        <w:t>din</w:t>
      </w:r>
      <w:r w:rsidR="002B478F">
        <w:t xml:space="preserve"> in </w:t>
      </w:r>
      <w:r w:rsidR="002B478F">
        <w:rPr>
          <w:i/>
        </w:rPr>
        <w:t xml:space="preserve">Choshen Mishpat </w:t>
      </w:r>
      <w:r w:rsidR="002B478F">
        <w:t>as a support for this.</w:t>
      </w:r>
      <w:r w:rsidR="002B478F">
        <w:rPr>
          <w:rStyle w:val="FootnoteReference"/>
        </w:rPr>
        <w:footnoteReference w:id="75"/>
      </w:r>
      <w:r w:rsidR="00183B43">
        <w:t xml:space="preserve"> There is a </w:t>
      </w:r>
      <w:r w:rsidR="00183B43">
        <w:rPr>
          <w:i/>
        </w:rPr>
        <w:t>machlokes achronim</w:t>
      </w:r>
      <w:r w:rsidR="00183B43">
        <w:t xml:space="preserve"> as to whether this position is the accepted view </w:t>
      </w:r>
      <w:r w:rsidR="00183B43">
        <w:rPr>
          <w:i/>
        </w:rPr>
        <w:t>l’ma’aseh</w:t>
      </w:r>
      <w:r w:rsidR="00183B43">
        <w:t xml:space="preserve">. The </w:t>
      </w:r>
      <w:r w:rsidR="00183B43" w:rsidRPr="00F32037">
        <w:t>Chassam Sofer</w:t>
      </w:r>
      <w:r w:rsidR="00183B43">
        <w:t xml:space="preserve"> states that it is, </w:t>
      </w:r>
      <w:r w:rsidR="00DA107D">
        <w:t>whilst</w:t>
      </w:r>
      <w:r w:rsidR="00183B43">
        <w:t xml:space="preserve"> the </w:t>
      </w:r>
      <w:r w:rsidR="00183B43" w:rsidRPr="00F32037">
        <w:t>Mahari Vayil</w:t>
      </w:r>
      <w:r w:rsidR="00183B43">
        <w:rPr>
          <w:rStyle w:val="FootnoteReference"/>
        </w:rPr>
        <w:footnoteReference w:id="76"/>
      </w:r>
      <w:r w:rsidR="00183B43">
        <w:t xml:space="preserve"> states that it is not and therefore the </w:t>
      </w:r>
      <w:r w:rsidR="00183B43">
        <w:rPr>
          <w:i/>
        </w:rPr>
        <w:t>yichud ha’eidim</w:t>
      </w:r>
      <w:r w:rsidR="00183B43">
        <w:t xml:space="preserve"> a</w:t>
      </w:r>
      <w:r w:rsidR="007B542D">
        <w:t>t</w:t>
      </w:r>
      <w:r w:rsidR="00183B43">
        <w:t xml:space="preserve"> weddings </w:t>
      </w:r>
      <w:r w:rsidR="007B542D">
        <w:t xml:space="preserve">adopts </w:t>
      </w:r>
      <w:r w:rsidR="00183B43">
        <w:t>increased significance.</w:t>
      </w:r>
      <w:r w:rsidR="00183B43">
        <w:rPr>
          <w:rStyle w:val="FootnoteReference"/>
        </w:rPr>
        <w:footnoteReference w:id="77"/>
      </w:r>
    </w:p>
    <w:p w14:paraId="697E304E" w14:textId="77777777" w:rsidR="000174D5" w:rsidRDefault="00F84425" w:rsidP="008A641F">
      <w:pPr>
        <w:jc w:val="both"/>
      </w:pPr>
      <w:r>
        <w:t xml:space="preserve">It would therefore seem that there may be a necessity for a </w:t>
      </w:r>
      <w:r>
        <w:rPr>
          <w:i/>
        </w:rPr>
        <w:t>get</w:t>
      </w:r>
      <w:r>
        <w:t xml:space="preserve"> following a non-Orthodox wedding ceremony if th</w:t>
      </w:r>
      <w:r w:rsidR="000174D5">
        <w:t>e following conditions were fulfilled:</w:t>
      </w:r>
    </w:p>
    <w:p w14:paraId="782970FD" w14:textId="77777777" w:rsidR="000174D5" w:rsidRDefault="000174D5" w:rsidP="000174D5">
      <w:pPr>
        <w:pStyle w:val="ListParagraph"/>
        <w:numPr>
          <w:ilvl w:val="0"/>
          <w:numId w:val="2"/>
        </w:numPr>
        <w:jc w:val="both"/>
      </w:pPr>
      <w:r>
        <w:t>The ceremony is</w:t>
      </w:r>
      <w:r w:rsidR="00F84425">
        <w:t xml:space="preserve"> run in a halachic manner </w:t>
      </w:r>
    </w:p>
    <w:p w14:paraId="6212E57F" w14:textId="77777777" w:rsidR="000174D5" w:rsidRDefault="000174D5" w:rsidP="000174D5">
      <w:pPr>
        <w:pStyle w:val="ListParagraph"/>
        <w:numPr>
          <w:ilvl w:val="0"/>
          <w:numId w:val="2"/>
        </w:numPr>
        <w:jc w:val="both"/>
      </w:pPr>
      <w:r>
        <w:t>T</w:t>
      </w:r>
      <w:r w:rsidR="00F84425">
        <w:t>here were to be members of the audience who are fitting to be witnesses</w:t>
      </w:r>
    </w:p>
    <w:p w14:paraId="1FFEF32A" w14:textId="79832147" w:rsidR="00973E69" w:rsidRDefault="000174D5" w:rsidP="000174D5">
      <w:pPr>
        <w:pStyle w:val="ListParagraph"/>
        <w:numPr>
          <w:ilvl w:val="0"/>
          <w:numId w:val="2"/>
        </w:numPr>
        <w:jc w:val="both"/>
      </w:pPr>
      <w:r>
        <w:t xml:space="preserve">The fitting audience members saw </w:t>
      </w:r>
      <w:r w:rsidR="00333F2A">
        <w:t>the</w:t>
      </w:r>
      <w:r>
        <w:t xml:space="preserve"> </w:t>
      </w:r>
      <w:r w:rsidR="00333F2A">
        <w:t xml:space="preserve">parts of the ceremony </w:t>
      </w:r>
      <w:r>
        <w:t>that are necessary for marriage</w:t>
      </w:r>
      <w:r w:rsidR="00F84425">
        <w:t>.</w:t>
      </w:r>
    </w:p>
    <w:p w14:paraId="12C348A9" w14:textId="77777777" w:rsidR="00A0566C" w:rsidRDefault="00A0566C" w:rsidP="008A641F">
      <w:pPr>
        <w:jc w:val="both"/>
        <w:rPr>
          <w:b/>
        </w:rPr>
      </w:pPr>
      <w:r w:rsidRPr="004D0EE9">
        <w:rPr>
          <w:b/>
        </w:rPr>
        <w:t>Different types of non-Orthodox ceremonies</w:t>
      </w:r>
    </w:p>
    <w:p w14:paraId="68C729EC" w14:textId="4B33C0E6" w:rsidR="00544C6C" w:rsidRPr="00967B17" w:rsidRDefault="000F69F1" w:rsidP="006510D1">
      <w:pPr>
        <w:jc w:val="both"/>
      </w:pPr>
      <w:r>
        <w:lastRenderedPageBreak/>
        <w:t xml:space="preserve">It would </w:t>
      </w:r>
      <w:r w:rsidR="005F3E20">
        <w:t>follow</w:t>
      </w:r>
      <w:r w:rsidR="000D7B6F">
        <w:t xml:space="preserve"> that R’ Moshe is concerned about a wedding conducted under the auspices of the American </w:t>
      </w:r>
      <w:r w:rsidR="00B2558E">
        <w:t>C</w:t>
      </w:r>
      <w:r w:rsidR="000D7B6F">
        <w:t>onservative movement as having possible halachic v</w:t>
      </w:r>
      <w:r w:rsidR="00B2558E">
        <w:t>alidity</w:t>
      </w:r>
      <w:r w:rsidR="000D7B6F">
        <w:t>.</w:t>
      </w:r>
      <w:r w:rsidR="000D7B6F">
        <w:rPr>
          <w:rStyle w:val="FootnoteReference"/>
        </w:rPr>
        <w:footnoteReference w:id="78"/>
      </w:r>
      <w:r w:rsidR="00544C6C">
        <w:t xml:space="preserve"> In order to ascertain whether or not this would be a legitimate </w:t>
      </w:r>
      <w:r w:rsidR="00544C6C" w:rsidRPr="0013729F">
        <w:rPr>
          <w:i/>
        </w:rPr>
        <w:t>chas</w:t>
      </w:r>
      <w:r w:rsidR="00B2558E">
        <w:rPr>
          <w:i/>
        </w:rPr>
        <w:t>h</w:t>
      </w:r>
      <w:r w:rsidR="00544C6C" w:rsidRPr="0013729F">
        <w:rPr>
          <w:i/>
        </w:rPr>
        <w:t>ash</w:t>
      </w:r>
      <w:r w:rsidR="00544C6C">
        <w:t>, one would need to research the specific nature of non-Orthodox wedding ceremoni</w:t>
      </w:r>
      <w:r w:rsidR="00967B17">
        <w:t xml:space="preserve">es, what they entail, and whether there is any chance that a legitimate </w:t>
      </w:r>
      <w:r w:rsidR="00967B17">
        <w:rPr>
          <w:i/>
        </w:rPr>
        <w:t>kiddushin</w:t>
      </w:r>
      <w:r w:rsidR="00967B17">
        <w:t xml:space="preserve"> is achieved</w:t>
      </w:r>
      <w:r w:rsidR="00B838E8">
        <w:t>.</w:t>
      </w:r>
    </w:p>
    <w:p w14:paraId="3BA03B38" w14:textId="77777777" w:rsidR="00A0566C" w:rsidRDefault="000F69F1" w:rsidP="008A641F">
      <w:pPr>
        <w:jc w:val="both"/>
        <w:rPr>
          <w:b/>
        </w:rPr>
      </w:pPr>
      <w:r>
        <w:rPr>
          <w:b/>
        </w:rPr>
        <w:t>Conclusion</w:t>
      </w:r>
    </w:p>
    <w:p w14:paraId="0D0CB02F" w14:textId="2AB02703" w:rsidR="00961A80" w:rsidRDefault="00961A80" w:rsidP="006510D1">
      <w:pPr>
        <w:jc w:val="both"/>
      </w:pPr>
      <w:r>
        <w:t xml:space="preserve">We have considered the necessity of a </w:t>
      </w:r>
      <w:r>
        <w:rPr>
          <w:i/>
        </w:rPr>
        <w:t>get</w:t>
      </w:r>
      <w:r>
        <w:t xml:space="preserve"> </w:t>
      </w:r>
      <w:r w:rsidR="007B542D">
        <w:t xml:space="preserve">in the context of </w:t>
      </w:r>
      <w:r>
        <w:t xml:space="preserve">both civil and </w:t>
      </w:r>
      <w:r w:rsidR="006510D1">
        <w:t xml:space="preserve">non-Orthodox </w:t>
      </w:r>
      <w:r>
        <w:t xml:space="preserve">marriage ceremonies, where the couple had lived together for a sustained period. It would appear that in the former, the majority of </w:t>
      </w:r>
      <w:r w:rsidRPr="00096EDE">
        <w:rPr>
          <w:i/>
          <w:iCs/>
        </w:rPr>
        <w:t>poskim</w:t>
      </w:r>
      <w:r>
        <w:t xml:space="preserve"> (albeit with notable exceptions) only require one </w:t>
      </w:r>
      <w:r w:rsidR="006510D1">
        <w:rPr>
          <w:iCs/>
        </w:rPr>
        <w:t xml:space="preserve">as a </w:t>
      </w:r>
      <w:r w:rsidR="006510D1">
        <w:rPr>
          <w:i/>
        </w:rPr>
        <w:t>chumra</w:t>
      </w:r>
      <w:r>
        <w:rPr>
          <w:i/>
        </w:rPr>
        <w:t>.</w:t>
      </w:r>
      <w:r>
        <w:t xml:space="preserve"> Primarily</w:t>
      </w:r>
      <w:r w:rsidR="00E301CC">
        <w:t>,</w:t>
      </w:r>
      <w:r>
        <w:t xml:space="preserve"> this is because the ceremony itself does not constitute a </w:t>
      </w:r>
      <w:r>
        <w:rPr>
          <w:i/>
        </w:rPr>
        <w:t xml:space="preserve">halachic </w:t>
      </w:r>
      <w:r>
        <w:t>marriage</w:t>
      </w:r>
      <w:r w:rsidR="007B542D">
        <w:t xml:space="preserve"> and</w:t>
      </w:r>
      <w:r>
        <w:t xml:space="preserve"> </w:t>
      </w:r>
      <w:r w:rsidR="007B542D">
        <w:t xml:space="preserve">neither </w:t>
      </w:r>
      <w:r>
        <w:t>does th</w:t>
      </w:r>
      <w:r w:rsidR="00E301CC">
        <w:t xml:space="preserve">eir subsequent living together. These </w:t>
      </w:r>
      <w:r w:rsidR="00E301CC" w:rsidRPr="00096EDE">
        <w:rPr>
          <w:i/>
          <w:iCs/>
        </w:rPr>
        <w:t>poskim</w:t>
      </w:r>
      <w:r w:rsidR="00E301CC">
        <w:t xml:space="preserve"> cite the view of the </w:t>
      </w:r>
      <w:r w:rsidR="00E301CC" w:rsidRPr="00F32037">
        <w:t>Rivash</w:t>
      </w:r>
      <w:r w:rsidR="00E301CC">
        <w:t>, wh</w:t>
      </w:r>
      <w:r w:rsidR="00B2558E">
        <w:t>ich</w:t>
      </w:r>
      <w:r w:rsidR="00E301CC">
        <w:t xml:space="preserve"> they argue would a</w:t>
      </w:r>
      <w:bookmarkStart w:id="0" w:name="_GoBack"/>
      <w:bookmarkEnd w:id="0"/>
      <w:r w:rsidR="00E301CC">
        <w:t xml:space="preserve">pply in modern day civil marriages. Notwithstanding concerns </w:t>
      </w:r>
      <w:r w:rsidR="007B542D">
        <w:t xml:space="preserve">of the </w:t>
      </w:r>
      <w:r w:rsidR="00E301CC">
        <w:t xml:space="preserve">minority of </w:t>
      </w:r>
      <w:r w:rsidR="00E301CC">
        <w:rPr>
          <w:i/>
        </w:rPr>
        <w:t>poskim</w:t>
      </w:r>
      <w:r w:rsidR="00E301CC">
        <w:t xml:space="preserve"> positing that</w:t>
      </w:r>
      <w:r w:rsidR="007B542D">
        <w:t xml:space="preserve"> either</w:t>
      </w:r>
      <w:r w:rsidR="00E301CC">
        <w:t xml:space="preserve"> the ceremony or </w:t>
      </w:r>
      <w:r w:rsidR="007B542D">
        <w:t>the</w:t>
      </w:r>
      <w:r w:rsidR="006510D1">
        <w:t xml:space="preserve"> couple’s</w:t>
      </w:r>
      <w:r w:rsidR="007B542D">
        <w:t xml:space="preserve"> </w:t>
      </w:r>
      <w:r w:rsidR="006510D1">
        <w:t xml:space="preserve">cohabitation </w:t>
      </w:r>
      <w:r w:rsidR="007B542D">
        <w:t xml:space="preserve">would </w:t>
      </w:r>
      <w:r w:rsidR="00E301CC">
        <w:t>be</w:t>
      </w:r>
      <w:r w:rsidR="007B542D">
        <w:t xml:space="preserve"> </w:t>
      </w:r>
      <w:r w:rsidR="00E301CC">
        <w:t xml:space="preserve">enough to engender the need for a </w:t>
      </w:r>
      <w:r w:rsidR="00E301CC">
        <w:rPr>
          <w:i/>
        </w:rPr>
        <w:t>get</w:t>
      </w:r>
      <w:r w:rsidR="00E301CC">
        <w:t xml:space="preserve">, it would appear that these concerns have not been accepted </w:t>
      </w:r>
      <w:r w:rsidR="00E301CC">
        <w:rPr>
          <w:i/>
        </w:rPr>
        <w:t>me’ikar ha’din.</w:t>
      </w:r>
    </w:p>
    <w:p w14:paraId="3ACFB093" w14:textId="37E81F37" w:rsidR="00E301CC" w:rsidRPr="000C03D0" w:rsidRDefault="00E301CC" w:rsidP="008A641F">
      <w:pPr>
        <w:jc w:val="both"/>
      </w:pPr>
      <w:r>
        <w:t xml:space="preserve">In relation to non-orthodox wedding ceremonies, it would also appear that a </w:t>
      </w:r>
      <w:r>
        <w:rPr>
          <w:i/>
        </w:rPr>
        <w:t>get</w:t>
      </w:r>
      <w:r>
        <w:t xml:space="preserve"> would not be needed to formalise the breakdown of the relationship. This, however, relies on the assumption that the ceremony itself was not </w:t>
      </w:r>
      <w:r w:rsidRPr="00096EDE">
        <w:rPr>
          <w:iCs/>
        </w:rPr>
        <w:t>halachically</w:t>
      </w:r>
      <w:r>
        <w:rPr>
          <w:i/>
        </w:rPr>
        <w:t xml:space="preserve"> </w:t>
      </w:r>
      <w:r>
        <w:t>binding.</w:t>
      </w:r>
      <w:r w:rsidR="00B2558E">
        <w:t xml:space="preserve"> However,</w:t>
      </w:r>
      <w:r w:rsidR="006510D1">
        <w:t xml:space="preserve"> i</w:t>
      </w:r>
      <w:r>
        <w:t xml:space="preserve">f it is and there are </w:t>
      </w:r>
      <w:r w:rsidRPr="00096EDE">
        <w:rPr>
          <w:iCs/>
        </w:rPr>
        <w:t>halachically</w:t>
      </w:r>
      <w:r>
        <w:t xml:space="preserve"> fit spectators in the audience, there may be scope to </w:t>
      </w:r>
      <w:r w:rsidR="000C03D0">
        <w:t xml:space="preserve">be </w:t>
      </w:r>
      <w:r w:rsidR="000C03D0">
        <w:rPr>
          <w:i/>
        </w:rPr>
        <w:t>choshesh</w:t>
      </w:r>
      <w:r w:rsidR="000C03D0">
        <w:t xml:space="preserve"> for </w:t>
      </w:r>
      <w:r w:rsidR="000C03D0">
        <w:rPr>
          <w:i/>
        </w:rPr>
        <w:t>kiddushin</w:t>
      </w:r>
      <w:r w:rsidR="000C03D0">
        <w:t xml:space="preserve"> having taken place.</w:t>
      </w:r>
    </w:p>
    <w:sectPr w:rsidR="00E301CC" w:rsidRPr="000C03D0">
      <w:pgSz w:w="11906" w:h="16838"/>
      <w:pgMar w:top="1440" w:right="1440" w:bottom="1440" w:left="1440"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8BE260" w16cid:durableId="1FB97114"/>
  <w16cid:commentId w16cid:paraId="2A7E3BD8" w16cid:durableId="1FB9F69F"/>
  <w16cid:commentId w16cid:paraId="3CFD4520" w16cid:durableId="1FB972D7"/>
  <w16cid:commentId w16cid:paraId="0ED72907" w16cid:durableId="1FB02D36"/>
  <w16cid:commentId w16cid:paraId="63E7D885" w16cid:durableId="1FB97A91"/>
  <w16cid:commentId w16cid:paraId="564E7E59" w16cid:durableId="1FB9F873"/>
  <w16cid:commentId w16cid:paraId="2113C127" w16cid:durableId="1FB97498"/>
  <w16cid:commentId w16cid:paraId="182D7AB9" w16cid:durableId="1FB97561"/>
  <w16cid:commentId w16cid:paraId="12255069" w16cid:durableId="1FB9FFF9"/>
  <w16cid:commentId w16cid:paraId="3F0CBB03" w16cid:durableId="1FB4B81E"/>
  <w16cid:commentId w16cid:paraId="45C0C87F" w16cid:durableId="1FBA003B"/>
  <w16cid:commentId w16cid:paraId="0FE7CC19" w16cid:durableId="1FB4B8CF"/>
  <w16cid:commentId w16cid:paraId="49F805F6" w16cid:durableId="1FB4B938"/>
  <w16cid:commentId w16cid:paraId="2FADBA4B" w16cid:durableId="1FBA0194"/>
  <w16cid:commentId w16cid:paraId="1C40D53E" w16cid:durableId="1FBA01E9"/>
  <w16cid:commentId w16cid:paraId="3C65F386" w16cid:durableId="1FB4BB4C"/>
  <w16cid:commentId w16cid:paraId="6B5566F3" w16cid:durableId="1FBA0403"/>
  <w16cid:commentId w16cid:paraId="089DEDB7" w16cid:durableId="1FBA041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EA5244" w14:textId="77777777" w:rsidR="002212CF" w:rsidRDefault="002212CF" w:rsidP="00271ADE">
      <w:pPr>
        <w:spacing w:after="0" w:line="240" w:lineRule="auto"/>
      </w:pPr>
      <w:r>
        <w:separator/>
      </w:r>
    </w:p>
  </w:endnote>
  <w:endnote w:type="continuationSeparator" w:id="0">
    <w:p w14:paraId="385B775C" w14:textId="77777777" w:rsidR="002212CF" w:rsidRDefault="002212CF" w:rsidP="00271A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34996A" w14:textId="77777777" w:rsidR="002212CF" w:rsidRDefault="002212CF" w:rsidP="00271ADE">
      <w:pPr>
        <w:spacing w:after="0" w:line="240" w:lineRule="auto"/>
      </w:pPr>
      <w:r>
        <w:separator/>
      </w:r>
    </w:p>
  </w:footnote>
  <w:footnote w:type="continuationSeparator" w:id="0">
    <w:p w14:paraId="0B06C5BF" w14:textId="77777777" w:rsidR="002212CF" w:rsidRDefault="002212CF" w:rsidP="00271ADE">
      <w:pPr>
        <w:spacing w:after="0" w:line="240" w:lineRule="auto"/>
      </w:pPr>
      <w:r>
        <w:continuationSeparator/>
      </w:r>
    </w:p>
  </w:footnote>
  <w:footnote w:id="1">
    <w:p w14:paraId="53BC94B4" w14:textId="4A32F3F2" w:rsidR="00D64030" w:rsidRDefault="00D64030">
      <w:pPr>
        <w:pStyle w:val="FootnoteText"/>
      </w:pPr>
      <w:r>
        <w:t xml:space="preserve">Note: I have been referenced to a number of the </w:t>
      </w:r>
      <w:r w:rsidRPr="00096EDE">
        <w:rPr>
          <w:i/>
          <w:iCs/>
        </w:rPr>
        <w:t>mekoros</w:t>
      </w:r>
      <w:r>
        <w:t xml:space="preserve"> for this article from R’ Michoel Zylberman, who is the </w:t>
      </w:r>
      <w:r w:rsidRPr="00096EDE">
        <w:rPr>
          <w:i/>
          <w:iCs/>
        </w:rPr>
        <w:t>Gittin</w:t>
      </w:r>
      <w:r>
        <w:t xml:space="preserve"> co-ordinator for the Rabbinical Council of America (RCA). All sources quoted below have been seen inside unless stated otherwise</w:t>
      </w:r>
    </w:p>
    <w:p w14:paraId="04A1A4DF" w14:textId="77777777" w:rsidR="00D64030" w:rsidRDefault="00D64030">
      <w:pPr>
        <w:pStyle w:val="FootnoteText"/>
      </w:pPr>
    </w:p>
    <w:p w14:paraId="483EAC91" w14:textId="77777777" w:rsidR="00D64030" w:rsidRDefault="00D64030">
      <w:pPr>
        <w:pStyle w:val="FootnoteText"/>
      </w:pPr>
      <w:r>
        <w:rPr>
          <w:rStyle w:val="FootnoteReference"/>
        </w:rPr>
        <w:footnoteRef/>
      </w:r>
      <w:r>
        <w:t xml:space="preserve"> See statistics quoted by R’ Shlomo Dichovsky, Techumin 27 pp.240 </w:t>
      </w:r>
    </w:p>
  </w:footnote>
  <w:footnote w:id="2">
    <w:p w14:paraId="6D5D4CA7" w14:textId="77777777" w:rsidR="00D64030" w:rsidRDefault="00D64030">
      <w:pPr>
        <w:pStyle w:val="FootnoteText"/>
      </w:pPr>
      <w:r>
        <w:rPr>
          <w:rStyle w:val="FootnoteReference"/>
        </w:rPr>
        <w:footnoteRef/>
      </w:r>
      <w:r>
        <w:t xml:space="preserve"> 81a</w:t>
      </w:r>
    </w:p>
  </w:footnote>
  <w:footnote w:id="3">
    <w:p w14:paraId="2F52A006" w14:textId="77777777" w:rsidR="00D64030" w:rsidRDefault="00D64030">
      <w:pPr>
        <w:pStyle w:val="FootnoteText"/>
      </w:pPr>
      <w:r>
        <w:rPr>
          <w:rStyle w:val="FootnoteReference"/>
        </w:rPr>
        <w:footnoteRef/>
      </w:r>
      <w:r>
        <w:t xml:space="preserve"> 81b</w:t>
      </w:r>
    </w:p>
  </w:footnote>
  <w:footnote w:id="4">
    <w:p w14:paraId="0FD1DBAD" w14:textId="446484BB" w:rsidR="00D64030" w:rsidRDefault="00D64030" w:rsidP="0036314C">
      <w:pPr>
        <w:pStyle w:val="FootnoteText"/>
      </w:pPr>
      <w:r>
        <w:rPr>
          <w:rStyle w:val="FootnoteReference"/>
        </w:rPr>
        <w:footnoteRef/>
      </w:r>
      <w:r>
        <w:t xml:space="preserve"> In accordance with the </w:t>
      </w:r>
      <w:r w:rsidRPr="00096EDE">
        <w:rPr>
          <w:i/>
          <w:iCs/>
        </w:rPr>
        <w:t>Mishna</w:t>
      </w:r>
      <w:r>
        <w:t xml:space="preserve"> in </w:t>
      </w:r>
      <w:r w:rsidRPr="0036314C">
        <w:t>Kiddushin</w:t>
      </w:r>
      <w:r>
        <w:t xml:space="preserve"> 2a, which lists b</w:t>
      </w:r>
      <w:r w:rsidRPr="008F3D6F">
        <w:rPr>
          <w:i/>
        </w:rPr>
        <w:t>i</w:t>
      </w:r>
      <w:r>
        <w:rPr>
          <w:i/>
        </w:rPr>
        <w:t>’</w:t>
      </w:r>
      <w:r w:rsidRPr="008F3D6F">
        <w:rPr>
          <w:i/>
        </w:rPr>
        <w:t>ah</w:t>
      </w:r>
      <w:r>
        <w:t xml:space="preserve"> as one of the ways of being </w:t>
      </w:r>
      <w:r w:rsidRPr="00096EDE">
        <w:rPr>
          <w:i/>
          <w:iCs/>
        </w:rPr>
        <w:t>mekadesh</w:t>
      </w:r>
      <w:r>
        <w:t xml:space="preserve"> a woman</w:t>
      </w:r>
    </w:p>
  </w:footnote>
  <w:footnote w:id="5">
    <w:p w14:paraId="68E87965" w14:textId="3F795D08" w:rsidR="00D64030" w:rsidRPr="00AA680A" w:rsidRDefault="00D64030" w:rsidP="00047763">
      <w:pPr>
        <w:pStyle w:val="FootnoteText"/>
      </w:pPr>
      <w:r>
        <w:rPr>
          <w:rStyle w:val="FootnoteReference"/>
        </w:rPr>
        <w:footnoteRef/>
      </w:r>
      <w:r>
        <w:t xml:space="preserve"> See Shu’t Sridei Eish (3:22) who understands this to be </w:t>
      </w:r>
      <w:r>
        <w:rPr>
          <w:i/>
        </w:rPr>
        <w:t xml:space="preserve">the </w:t>
      </w:r>
      <w:r>
        <w:t>central question here</w:t>
      </w:r>
    </w:p>
  </w:footnote>
  <w:footnote w:id="6">
    <w:p w14:paraId="00E538FE" w14:textId="5C5B2AFD" w:rsidR="00D64030" w:rsidRDefault="00D64030" w:rsidP="00BD5002">
      <w:pPr>
        <w:pStyle w:val="FootnoteText"/>
      </w:pPr>
      <w:r>
        <w:rPr>
          <w:rStyle w:val="FootnoteReference"/>
        </w:rPr>
        <w:footnoteRef/>
      </w:r>
      <w:r>
        <w:t xml:space="preserve"> Shulchan Aruch Evan Ha’Ezer 149:1, Rambam Hilchos Geirushin 10:17</w:t>
      </w:r>
    </w:p>
  </w:footnote>
  <w:footnote w:id="7">
    <w:p w14:paraId="35A05899" w14:textId="4B22A0DD" w:rsidR="00D64030" w:rsidRDefault="00D64030" w:rsidP="00B779AC">
      <w:pPr>
        <w:pStyle w:val="FootnoteText"/>
      </w:pPr>
      <w:r>
        <w:rPr>
          <w:rStyle w:val="FootnoteReference"/>
        </w:rPr>
        <w:footnoteRef/>
      </w:r>
      <w:r>
        <w:t xml:space="preserve"> Shulchan Aruch Evan Ha’Ezer 26:1 (see Beis Shmuel and Bi’ur HaGra there), 149:2, Rambam Hilchos Geirushin 10:18-19</w:t>
      </w:r>
    </w:p>
  </w:footnote>
  <w:footnote w:id="8">
    <w:p w14:paraId="3D1F57F0" w14:textId="77777777" w:rsidR="00D64030" w:rsidRDefault="00D64030">
      <w:pPr>
        <w:pStyle w:val="FootnoteText"/>
      </w:pPr>
      <w:r>
        <w:rPr>
          <w:rStyle w:val="FootnoteReference"/>
        </w:rPr>
        <w:footnoteRef/>
      </w:r>
      <w:r>
        <w:t xml:space="preserve"> Gittin 81b ‘</w:t>
      </w:r>
      <w:r w:rsidRPr="00BD5002">
        <w:rPr>
          <w:i/>
          <w:iCs/>
        </w:rPr>
        <w:t>Elah</w:t>
      </w:r>
      <w:r>
        <w:t>’</w:t>
      </w:r>
    </w:p>
  </w:footnote>
  <w:footnote w:id="9">
    <w:p w14:paraId="767D75EA" w14:textId="77777777" w:rsidR="00D64030" w:rsidRDefault="00D64030">
      <w:pPr>
        <w:pStyle w:val="FootnoteText"/>
      </w:pPr>
      <w:r>
        <w:rPr>
          <w:rStyle w:val="FootnoteReference"/>
        </w:rPr>
        <w:footnoteRef/>
      </w:r>
      <w:r>
        <w:t xml:space="preserve"> See Kiddushin 6a, discussed in further detail below</w:t>
      </w:r>
    </w:p>
  </w:footnote>
  <w:footnote w:id="10">
    <w:p w14:paraId="46218925" w14:textId="77777777" w:rsidR="00D64030" w:rsidRDefault="00D64030">
      <w:pPr>
        <w:pStyle w:val="FootnoteText"/>
      </w:pPr>
      <w:r>
        <w:rPr>
          <w:rStyle w:val="FootnoteReference"/>
        </w:rPr>
        <w:footnoteRef/>
      </w:r>
      <w:r>
        <w:t xml:space="preserve"> Ibid.</w:t>
      </w:r>
    </w:p>
  </w:footnote>
  <w:footnote w:id="11">
    <w:p w14:paraId="0F972317" w14:textId="08965AAC" w:rsidR="00D64030" w:rsidRDefault="00D64030" w:rsidP="007A743E">
      <w:pPr>
        <w:pStyle w:val="FootnoteText"/>
      </w:pPr>
      <w:r>
        <w:rPr>
          <w:rStyle w:val="FootnoteReference"/>
        </w:rPr>
        <w:footnoteRef/>
      </w:r>
      <w:r>
        <w:t xml:space="preserve"> The limited circumstances mentioned here are when the couple was previously married or they currently have a marriage that is dependent on the fulfilment of a condition. The Ra’avad there takes the opposing view and concurs with the opinion of the Ge’onim.</w:t>
      </w:r>
    </w:p>
  </w:footnote>
  <w:footnote w:id="12">
    <w:p w14:paraId="3429EA3F" w14:textId="7085A299" w:rsidR="00D64030" w:rsidRDefault="00D64030" w:rsidP="004E2CB7">
      <w:pPr>
        <w:pStyle w:val="FootnoteText"/>
      </w:pPr>
      <w:r>
        <w:rPr>
          <w:rStyle w:val="FootnoteReference"/>
        </w:rPr>
        <w:footnoteRef/>
      </w:r>
      <w:r>
        <w:t xml:space="preserve"> Hichos Ishus 7:23</w:t>
      </w:r>
    </w:p>
  </w:footnote>
  <w:footnote w:id="13">
    <w:p w14:paraId="470C31E7" w14:textId="77777777" w:rsidR="00D64030" w:rsidRDefault="00D64030">
      <w:pPr>
        <w:pStyle w:val="FootnoteText"/>
      </w:pPr>
      <w:r>
        <w:rPr>
          <w:rStyle w:val="FootnoteReference"/>
        </w:rPr>
        <w:footnoteRef/>
      </w:r>
      <w:r>
        <w:t xml:space="preserve"> Ibid </w:t>
      </w:r>
      <w:r w:rsidRPr="00096EDE">
        <w:rPr>
          <w:i/>
          <w:iCs/>
        </w:rPr>
        <w:t>‘Horu miktzas hage’onim’</w:t>
      </w:r>
    </w:p>
  </w:footnote>
  <w:footnote w:id="14">
    <w:p w14:paraId="39E33B8B" w14:textId="77777777" w:rsidR="00D64030" w:rsidRDefault="00D64030">
      <w:pPr>
        <w:pStyle w:val="FootnoteText"/>
      </w:pPr>
      <w:r>
        <w:rPr>
          <w:rStyle w:val="FootnoteReference"/>
        </w:rPr>
        <w:footnoteRef/>
      </w:r>
      <w:r>
        <w:t xml:space="preserve"> Shu’t Yabia Omer Chelek 6 Even Ha’ezer Siman 1</w:t>
      </w:r>
    </w:p>
  </w:footnote>
  <w:footnote w:id="15">
    <w:p w14:paraId="5D70080E" w14:textId="76D0FFAB" w:rsidR="00D64030" w:rsidRDefault="00D64030" w:rsidP="007A743E">
      <w:pPr>
        <w:pStyle w:val="FootnoteText"/>
      </w:pPr>
      <w:r>
        <w:rPr>
          <w:rStyle w:val="FootnoteReference"/>
        </w:rPr>
        <w:footnoteRef/>
      </w:r>
      <w:r>
        <w:t xml:space="preserve"> Even Ha’Ezer 26:1, 149:5</w:t>
      </w:r>
    </w:p>
  </w:footnote>
  <w:footnote w:id="16">
    <w:p w14:paraId="2DF1E2A5" w14:textId="5D85CA8E" w:rsidR="00D64030" w:rsidRDefault="00D64030" w:rsidP="00A32D5F">
      <w:pPr>
        <w:pStyle w:val="FootnoteText"/>
      </w:pPr>
      <w:r>
        <w:rPr>
          <w:rStyle w:val="FootnoteReference"/>
        </w:rPr>
        <w:footnoteRef/>
      </w:r>
      <w:r>
        <w:t xml:space="preserve"> Shu’t Yabia Omer Chelek 6 Even Ha’ezer Siman 1 in the name of the Sha’agas Aryeh. It is noteworthy that R’ Henkin, quoted below, dismisses those who quote the Sha’agas Aryeh in this discussion as taking his comment out of  a very specific context </w:t>
      </w:r>
    </w:p>
  </w:footnote>
  <w:footnote w:id="17">
    <w:p w14:paraId="33909A73" w14:textId="0A6222BB" w:rsidR="00D64030" w:rsidRDefault="00D64030" w:rsidP="007A743E">
      <w:pPr>
        <w:pStyle w:val="FootnoteText"/>
      </w:pPr>
      <w:r>
        <w:rPr>
          <w:rStyle w:val="FootnoteReference"/>
        </w:rPr>
        <w:footnoteRef/>
      </w:r>
      <w:r>
        <w:t xml:space="preserve"> See Rambam Hilchos Ishus 3:21</w:t>
      </w:r>
    </w:p>
  </w:footnote>
  <w:footnote w:id="18">
    <w:p w14:paraId="4D8204B2" w14:textId="48A2A9A8" w:rsidR="00D64030" w:rsidRPr="00F9339F" w:rsidRDefault="00D64030">
      <w:pPr>
        <w:pStyle w:val="FootnoteText"/>
      </w:pPr>
      <w:r>
        <w:rPr>
          <w:rStyle w:val="FootnoteReference"/>
        </w:rPr>
        <w:footnoteRef/>
      </w:r>
      <w:r>
        <w:t xml:space="preserve"> This somewhat opens up the topic of which and to what extent certain </w:t>
      </w:r>
      <w:r w:rsidRPr="00096EDE">
        <w:rPr>
          <w:i/>
          <w:iCs/>
        </w:rPr>
        <w:t>chazakos</w:t>
      </w:r>
      <w:r>
        <w:t xml:space="preserve"> assumed in the gemara are to have contemporary application. For an article that address some of the facets of this topic, see R’ Moshe Be’eiri in </w:t>
      </w:r>
      <w:r w:rsidRPr="00096EDE">
        <w:rPr>
          <w:iCs/>
        </w:rPr>
        <w:t>Techumin</w:t>
      </w:r>
      <w:r>
        <w:t xml:space="preserve"> edition 28 pages 63-68</w:t>
      </w:r>
    </w:p>
  </w:footnote>
  <w:footnote w:id="19">
    <w:p w14:paraId="0FFAEF1E" w14:textId="77777777" w:rsidR="00D64030" w:rsidRDefault="00D64030">
      <w:pPr>
        <w:pStyle w:val="FootnoteText"/>
      </w:pPr>
      <w:r>
        <w:rPr>
          <w:rStyle w:val="FootnoteReference"/>
        </w:rPr>
        <w:footnoteRef/>
      </w:r>
      <w:r>
        <w:t xml:space="preserve"> Shu’t Rivash Siman 6</w:t>
      </w:r>
    </w:p>
  </w:footnote>
  <w:footnote w:id="20">
    <w:p w14:paraId="28B40C32" w14:textId="5BE7FC48" w:rsidR="00D64030" w:rsidRDefault="00D64030">
      <w:pPr>
        <w:pStyle w:val="FootnoteText"/>
      </w:pPr>
      <w:r>
        <w:rPr>
          <w:rStyle w:val="FootnoteReference"/>
        </w:rPr>
        <w:footnoteRef/>
      </w:r>
      <w:r>
        <w:t xml:space="preserve"> See Terumas HaDeshen Siman 209 who deals with a similar case, in addition to Shu’t Radvaz 1:351. R’ Dichovsky in Techumin 2 p.256 describes these three together as forming the cornerstone of the sugya</w:t>
      </w:r>
    </w:p>
  </w:footnote>
  <w:footnote w:id="21">
    <w:p w14:paraId="1E4499C8" w14:textId="77777777" w:rsidR="00D64030" w:rsidRDefault="00D64030">
      <w:pPr>
        <w:pStyle w:val="FootnoteText"/>
      </w:pPr>
      <w:r>
        <w:rPr>
          <w:rStyle w:val="FootnoteReference"/>
        </w:rPr>
        <w:footnoteRef/>
      </w:r>
      <w:r>
        <w:t xml:space="preserve"> Ibid</w:t>
      </w:r>
    </w:p>
  </w:footnote>
  <w:footnote w:id="22">
    <w:p w14:paraId="48CC494D" w14:textId="6911E573" w:rsidR="00D64030" w:rsidRDefault="00D64030" w:rsidP="003319A4">
      <w:pPr>
        <w:pStyle w:val="FootnoteText"/>
      </w:pPr>
      <w:r>
        <w:rPr>
          <w:rStyle w:val="FootnoteReference"/>
        </w:rPr>
        <w:footnoteRef/>
      </w:r>
      <w:r>
        <w:t xml:space="preserve"> See Ohr Sameach Hilchos Geirushin 10:19 who makes this point explicitly.</w:t>
      </w:r>
    </w:p>
  </w:footnote>
  <w:footnote w:id="23">
    <w:p w14:paraId="6024D8ED" w14:textId="77777777" w:rsidR="00D64030" w:rsidRDefault="00D64030" w:rsidP="00677898">
      <w:pPr>
        <w:pStyle w:val="FootnoteText"/>
      </w:pPr>
      <w:r>
        <w:rPr>
          <w:rStyle w:val="FootnoteReference"/>
        </w:rPr>
        <w:footnoteRef/>
      </w:r>
      <w:r>
        <w:t xml:space="preserve"> Vayikra 20;18</w:t>
      </w:r>
    </w:p>
  </w:footnote>
  <w:footnote w:id="24">
    <w:p w14:paraId="00A2E0A8" w14:textId="65111268" w:rsidR="00D64030" w:rsidRDefault="00D64030" w:rsidP="00A32D5F">
      <w:pPr>
        <w:pStyle w:val="FootnoteText"/>
      </w:pPr>
      <w:r>
        <w:rPr>
          <w:rStyle w:val="FootnoteReference"/>
        </w:rPr>
        <w:footnoteRef/>
      </w:r>
      <w:r>
        <w:t xml:space="preserve"> Even Ha’Ezer 149:6</w:t>
      </w:r>
    </w:p>
  </w:footnote>
  <w:footnote w:id="25">
    <w:p w14:paraId="0391375F" w14:textId="36F32C81" w:rsidR="00D64030" w:rsidRDefault="00D64030">
      <w:pPr>
        <w:pStyle w:val="FootnoteText"/>
      </w:pPr>
      <w:r>
        <w:rPr>
          <w:rStyle w:val="FootnoteReference"/>
        </w:rPr>
        <w:footnoteRef/>
      </w:r>
      <w:r>
        <w:t xml:space="preserve"> Even Ha’ezer 26:1</w:t>
      </w:r>
    </w:p>
  </w:footnote>
  <w:footnote w:id="26">
    <w:p w14:paraId="7505DCAD" w14:textId="0A83850F" w:rsidR="00D64030" w:rsidRPr="00FC42B9" w:rsidRDefault="00D64030">
      <w:pPr>
        <w:pStyle w:val="FootnoteText"/>
      </w:pPr>
      <w:r>
        <w:rPr>
          <w:rStyle w:val="FootnoteReference"/>
        </w:rPr>
        <w:footnoteRef/>
      </w:r>
      <w:r>
        <w:t xml:space="preserve"> Shu’t Iggros Moshe Even Ha’Ezer 1:75. It is implicit from R’ Henkin below that the </w:t>
      </w:r>
      <w:r>
        <w:rPr>
          <w:i/>
        </w:rPr>
        <w:t>din</w:t>
      </w:r>
      <w:r>
        <w:t xml:space="preserve"> of the Rivash is uncontested (although he questions its application)</w:t>
      </w:r>
    </w:p>
  </w:footnote>
  <w:footnote w:id="27">
    <w:p w14:paraId="7CEFC1C7" w14:textId="40CE0E59" w:rsidR="00D64030" w:rsidRDefault="00D64030">
      <w:pPr>
        <w:pStyle w:val="FootnoteText"/>
      </w:pPr>
      <w:r>
        <w:rPr>
          <w:rStyle w:val="FootnoteReference"/>
        </w:rPr>
        <w:footnoteRef/>
      </w:r>
      <w:r>
        <w:t xml:space="preserve"> R’ Herschel Schachter Shli’ta in an audio shiur (Entitled ‘Emor 5776’) posits that this description is inaccurate and really it is a </w:t>
      </w:r>
      <w:r w:rsidRPr="00096EDE">
        <w:rPr>
          <w:i/>
          <w:iCs/>
        </w:rPr>
        <w:t>machlokes</w:t>
      </w:r>
      <w:r>
        <w:t xml:space="preserve"> between 98% of </w:t>
      </w:r>
      <w:r w:rsidRPr="00A32D5F">
        <w:rPr>
          <w:i/>
          <w:iCs/>
        </w:rPr>
        <w:t>poskim</w:t>
      </w:r>
      <w:r>
        <w:t xml:space="preserve"> and R’ Henkin. Shu’t Sridei Esh (3:22) understands the divergence to be between the </w:t>
      </w:r>
      <w:r w:rsidRPr="00A32D5F">
        <w:rPr>
          <w:i/>
          <w:iCs/>
        </w:rPr>
        <w:t>poskim</w:t>
      </w:r>
      <w:r>
        <w:t xml:space="preserve"> in Hungary and those in Galicia.</w:t>
      </w:r>
    </w:p>
  </w:footnote>
  <w:footnote w:id="28">
    <w:p w14:paraId="14E9E3A9" w14:textId="77777777" w:rsidR="00D64030" w:rsidRDefault="00D64030">
      <w:pPr>
        <w:pStyle w:val="FootnoteText"/>
      </w:pPr>
      <w:r>
        <w:rPr>
          <w:rStyle w:val="FootnoteReference"/>
        </w:rPr>
        <w:footnoteRef/>
      </w:r>
      <w:r>
        <w:t xml:space="preserve"> Ibid, the teshuva was written in 1961</w:t>
      </w:r>
    </w:p>
  </w:footnote>
  <w:footnote w:id="29">
    <w:p w14:paraId="6BCF8151" w14:textId="68BB55D2" w:rsidR="00D64030" w:rsidRPr="002225D1" w:rsidRDefault="00D64030" w:rsidP="00A32D5F">
      <w:pPr>
        <w:pStyle w:val="FootnoteText"/>
      </w:pPr>
      <w:r>
        <w:rPr>
          <w:rStyle w:val="FootnoteReference"/>
        </w:rPr>
        <w:footnoteRef/>
      </w:r>
      <w:r>
        <w:t xml:space="preserve"> Rav Ovadia in Yabia Omer Chelek 6:1 disagrees with the notion of obtaining a </w:t>
      </w:r>
      <w:r>
        <w:rPr>
          <w:i/>
        </w:rPr>
        <w:t>get</w:t>
      </w:r>
      <w:r>
        <w:t xml:space="preserve"> even </w:t>
      </w:r>
      <w:r>
        <w:rPr>
          <w:i/>
          <w:iCs/>
        </w:rPr>
        <w:t>l’</w:t>
      </w:r>
      <w:r w:rsidRPr="00096EDE">
        <w:rPr>
          <w:i/>
          <w:iCs/>
        </w:rPr>
        <w:t>chumra</w:t>
      </w:r>
      <w:r>
        <w:t xml:space="preserve">, arguing that it is a </w:t>
      </w:r>
      <w:r w:rsidRPr="00096EDE">
        <w:rPr>
          <w:i/>
          <w:iCs/>
        </w:rPr>
        <w:t>chumra d’asi lidei kulla</w:t>
      </w:r>
      <w:r>
        <w:t xml:space="preserve"> (stringency that leads to a leniency) of delaying a woman from getting remarried. It appears that the Tzitz Eliezer (2:19:7) also wouldn’t require a </w:t>
      </w:r>
      <w:r>
        <w:rPr>
          <w:i/>
        </w:rPr>
        <w:t xml:space="preserve">get </w:t>
      </w:r>
      <w:r>
        <w:t xml:space="preserve">even </w:t>
      </w:r>
      <w:r w:rsidRPr="00096EDE">
        <w:rPr>
          <w:i/>
          <w:iCs/>
        </w:rPr>
        <w:t>l</w:t>
      </w:r>
      <w:r>
        <w:rPr>
          <w:i/>
          <w:iCs/>
        </w:rPr>
        <w:t>’</w:t>
      </w:r>
      <w:r w:rsidRPr="00096EDE">
        <w:rPr>
          <w:i/>
          <w:iCs/>
        </w:rPr>
        <w:t>chumra</w:t>
      </w:r>
      <w:r>
        <w:t>.</w:t>
      </w:r>
    </w:p>
  </w:footnote>
  <w:footnote w:id="30">
    <w:p w14:paraId="12A0DFBD" w14:textId="3B5DA263" w:rsidR="00D64030" w:rsidRDefault="00D64030">
      <w:pPr>
        <w:pStyle w:val="FootnoteText"/>
      </w:pPr>
      <w:r>
        <w:rPr>
          <w:rStyle w:val="FootnoteReference"/>
        </w:rPr>
        <w:footnoteRef/>
      </w:r>
      <w:r>
        <w:t xml:space="preserve"> 3:22</w:t>
      </w:r>
    </w:p>
  </w:footnote>
  <w:footnote w:id="31">
    <w:p w14:paraId="40B40AEF" w14:textId="19E33E64" w:rsidR="00D64030" w:rsidRDefault="00D64030">
      <w:pPr>
        <w:pStyle w:val="FootnoteText"/>
      </w:pPr>
      <w:r>
        <w:rPr>
          <w:rStyle w:val="FootnoteReference"/>
        </w:rPr>
        <w:footnoteRef/>
      </w:r>
      <w:r>
        <w:t xml:space="preserve"> This latter point is brought more clearly in Even Ha’Ezer 2:19</w:t>
      </w:r>
    </w:p>
  </w:footnote>
  <w:footnote w:id="32">
    <w:p w14:paraId="56145248" w14:textId="77777777" w:rsidR="00D64030" w:rsidRDefault="00D64030">
      <w:pPr>
        <w:pStyle w:val="FootnoteText"/>
      </w:pPr>
      <w:r>
        <w:rPr>
          <w:rStyle w:val="FootnoteReference"/>
        </w:rPr>
        <w:footnoteRef/>
      </w:r>
      <w:r>
        <w:t xml:space="preserve"> Ibid</w:t>
      </w:r>
    </w:p>
  </w:footnote>
  <w:footnote w:id="33">
    <w:p w14:paraId="64A57DBA" w14:textId="653A3425" w:rsidR="00D64030" w:rsidRDefault="00D64030">
      <w:pPr>
        <w:pStyle w:val="FootnoteText"/>
      </w:pPr>
      <w:r>
        <w:rPr>
          <w:rStyle w:val="FootnoteReference"/>
        </w:rPr>
        <w:footnoteRef/>
      </w:r>
      <w:r>
        <w:t xml:space="preserve"> 22:67</w:t>
      </w:r>
    </w:p>
  </w:footnote>
  <w:footnote w:id="34">
    <w:p w14:paraId="3BD54627" w14:textId="6E4462DD" w:rsidR="00D64030" w:rsidRDefault="00D64030">
      <w:pPr>
        <w:pStyle w:val="FootnoteText"/>
      </w:pPr>
      <w:r>
        <w:rPr>
          <w:rStyle w:val="FootnoteReference"/>
        </w:rPr>
        <w:footnoteRef/>
      </w:r>
      <w:r>
        <w:t xml:space="preserve"> Sridei Eish cited below gives a lot of weight to R’ Chaim Ozer’s view</w:t>
      </w:r>
    </w:p>
  </w:footnote>
  <w:footnote w:id="35">
    <w:p w14:paraId="7FF10A20" w14:textId="7C0F913A" w:rsidR="00D64030" w:rsidRPr="00572350" w:rsidRDefault="00D64030" w:rsidP="00B9402F">
      <w:pPr>
        <w:pStyle w:val="FootnoteText"/>
      </w:pPr>
      <w:r>
        <w:rPr>
          <w:rStyle w:val="FootnoteReference"/>
        </w:rPr>
        <w:footnoteRef/>
      </w:r>
      <w:r>
        <w:t xml:space="preserve"> R’ Henkin in Hapardeis Journal (8:7:37, dated 1934, which he states is a repetition of the points he made previously in his Peirushei Ivra)</w:t>
      </w:r>
    </w:p>
  </w:footnote>
  <w:footnote w:id="36">
    <w:p w14:paraId="5D1E6429" w14:textId="77777777" w:rsidR="00D64030" w:rsidRDefault="00D64030">
      <w:pPr>
        <w:pStyle w:val="FootnoteText"/>
      </w:pPr>
      <w:r>
        <w:rPr>
          <w:rStyle w:val="FootnoteReference"/>
        </w:rPr>
        <w:footnoteRef/>
      </w:r>
      <w:r>
        <w:t xml:space="preserve"> Ibid</w:t>
      </w:r>
    </w:p>
  </w:footnote>
  <w:footnote w:id="37">
    <w:p w14:paraId="71F56085" w14:textId="0CCCC370" w:rsidR="00D64030" w:rsidRDefault="00D64030">
      <w:pPr>
        <w:pStyle w:val="FootnoteText"/>
      </w:pPr>
      <w:r>
        <w:rPr>
          <w:rStyle w:val="FootnoteReference"/>
        </w:rPr>
        <w:footnoteRef/>
      </w:r>
      <w:r>
        <w:t xml:space="preserve"> Ibid, 8:8:44</w:t>
      </w:r>
    </w:p>
  </w:footnote>
  <w:footnote w:id="38">
    <w:p w14:paraId="6D84B02C" w14:textId="77777777" w:rsidR="00D64030" w:rsidRDefault="00D64030">
      <w:pPr>
        <w:pStyle w:val="FootnoteText"/>
      </w:pPr>
      <w:r>
        <w:rPr>
          <w:rStyle w:val="FootnoteReference"/>
        </w:rPr>
        <w:footnoteRef/>
      </w:r>
      <w:r>
        <w:t xml:space="preserve"> See Techumin 2, p.256-258, where R’ Dichovsky quotes a number of reasons to be </w:t>
      </w:r>
      <w:r w:rsidRPr="00096EDE">
        <w:rPr>
          <w:i/>
          <w:iCs/>
        </w:rPr>
        <w:t>machmir</w:t>
      </w:r>
      <w:r>
        <w:t>. I have brought down what I perceive to be the more ‘mainstream’ concerns.</w:t>
      </w:r>
    </w:p>
  </w:footnote>
  <w:footnote w:id="39">
    <w:p w14:paraId="16676A85" w14:textId="7522DF8A" w:rsidR="00D64030" w:rsidRPr="00096EDE" w:rsidRDefault="00D64030" w:rsidP="006D6443">
      <w:pPr>
        <w:pStyle w:val="FootnoteText"/>
        <w:rPr>
          <w:b/>
          <w:bCs/>
          <w:iCs/>
        </w:rPr>
      </w:pPr>
      <w:r>
        <w:rPr>
          <w:rStyle w:val="FootnoteReference"/>
        </w:rPr>
        <w:footnoteRef/>
      </w:r>
      <w:r>
        <w:t xml:space="preserve"> I have heard from two separate sources, citing Rabbi Frand, that even in his later years, when he did not possess clarity of mind, he would reiterate that ‘she needs a </w:t>
      </w:r>
      <w:r w:rsidRPr="00B9402F">
        <w:rPr>
          <w:i/>
          <w:iCs/>
        </w:rPr>
        <w:t>get</w:t>
      </w:r>
      <w:r>
        <w:t>’ in these circumstances.</w:t>
      </w:r>
    </w:p>
  </w:footnote>
  <w:footnote w:id="40">
    <w:p w14:paraId="186E1E66" w14:textId="77777777" w:rsidR="00D64030" w:rsidRDefault="00D64030" w:rsidP="006D6443">
      <w:pPr>
        <w:pStyle w:val="FootnoteText"/>
      </w:pPr>
      <w:r>
        <w:rPr>
          <w:rStyle w:val="FootnoteReference"/>
        </w:rPr>
        <w:footnoteRef/>
      </w:r>
      <w:r>
        <w:t xml:space="preserve"> Lev Ivra pp 19-20</w:t>
      </w:r>
    </w:p>
  </w:footnote>
  <w:footnote w:id="41">
    <w:p w14:paraId="5390FDBB" w14:textId="77777777" w:rsidR="00D64030" w:rsidRDefault="00D64030" w:rsidP="006D6443">
      <w:pPr>
        <w:pStyle w:val="FootnoteText"/>
      </w:pPr>
      <w:r>
        <w:rPr>
          <w:rStyle w:val="FootnoteReference"/>
        </w:rPr>
        <w:footnoteRef/>
      </w:r>
      <w:r>
        <w:t xml:space="preserve"> Writing in Techumin 24 pp. 185</w:t>
      </w:r>
    </w:p>
  </w:footnote>
  <w:footnote w:id="42">
    <w:p w14:paraId="7C62BE21" w14:textId="78D6BF0E" w:rsidR="00D64030" w:rsidRDefault="00D64030">
      <w:pPr>
        <w:pStyle w:val="FootnoteText"/>
      </w:pPr>
      <w:r>
        <w:rPr>
          <w:rStyle w:val="FootnoteReference"/>
        </w:rPr>
        <w:footnoteRef/>
      </w:r>
      <w:r>
        <w:t xml:space="preserve"> Shu’t Melamed L’Ho’il 3:20 (old edition)</w:t>
      </w:r>
    </w:p>
  </w:footnote>
  <w:footnote w:id="43">
    <w:p w14:paraId="7324F7F7" w14:textId="65F320EC" w:rsidR="00D64030" w:rsidRDefault="00D64030">
      <w:pPr>
        <w:pStyle w:val="FootnoteText"/>
      </w:pPr>
      <w:r>
        <w:rPr>
          <w:rStyle w:val="FootnoteReference"/>
        </w:rPr>
        <w:footnoteRef/>
      </w:r>
      <w:r>
        <w:t xml:space="preserve"> 3:22</w:t>
      </w:r>
    </w:p>
  </w:footnote>
  <w:footnote w:id="44">
    <w:p w14:paraId="6C49A1DC" w14:textId="77777777" w:rsidR="00D64030" w:rsidRDefault="00D64030">
      <w:pPr>
        <w:pStyle w:val="FootnoteText"/>
      </w:pPr>
      <w:r>
        <w:rPr>
          <w:rStyle w:val="FootnoteReference"/>
        </w:rPr>
        <w:footnoteRef/>
      </w:r>
      <w:r>
        <w:t xml:space="preserve"> 6a</w:t>
      </w:r>
    </w:p>
  </w:footnote>
  <w:footnote w:id="45">
    <w:p w14:paraId="5FD35ABF" w14:textId="12FAFE89" w:rsidR="00D64030" w:rsidRDefault="00D64030" w:rsidP="00DA224B">
      <w:pPr>
        <w:pStyle w:val="FootnoteText"/>
      </w:pPr>
      <w:r>
        <w:rPr>
          <w:rStyle w:val="FootnoteReference"/>
        </w:rPr>
        <w:footnoteRef/>
      </w:r>
      <w:r>
        <w:t xml:space="preserve"> Shulchan Aruch Even Ha’ezer 27:1</w:t>
      </w:r>
    </w:p>
  </w:footnote>
  <w:footnote w:id="46">
    <w:p w14:paraId="4A4D4BE5" w14:textId="77777777" w:rsidR="00D64030" w:rsidRDefault="00D64030">
      <w:pPr>
        <w:pStyle w:val="FootnoteText"/>
      </w:pPr>
      <w:r>
        <w:rPr>
          <w:rStyle w:val="FootnoteReference"/>
        </w:rPr>
        <w:footnoteRef/>
      </w:r>
      <w:r>
        <w:t xml:space="preserve"> 3a</w:t>
      </w:r>
    </w:p>
  </w:footnote>
  <w:footnote w:id="47">
    <w:p w14:paraId="1265695C" w14:textId="77777777" w:rsidR="00D64030" w:rsidRDefault="00D64030">
      <w:pPr>
        <w:pStyle w:val="FootnoteText"/>
      </w:pPr>
      <w:r>
        <w:rPr>
          <w:rStyle w:val="FootnoteReference"/>
        </w:rPr>
        <w:footnoteRef/>
      </w:r>
      <w:r>
        <w:t xml:space="preserve"> See Gittin 34a at the beginning of Perek Ha’Sholeach</w:t>
      </w:r>
    </w:p>
  </w:footnote>
  <w:footnote w:id="48">
    <w:p w14:paraId="5787A7BE" w14:textId="77777777" w:rsidR="00D64030" w:rsidRDefault="00D64030">
      <w:pPr>
        <w:pStyle w:val="FootnoteText"/>
      </w:pPr>
      <w:r>
        <w:rPr>
          <w:rStyle w:val="FootnoteReference"/>
        </w:rPr>
        <w:footnoteRef/>
      </w:r>
      <w:r>
        <w:t xml:space="preserve"> 73b</w:t>
      </w:r>
    </w:p>
  </w:footnote>
  <w:footnote w:id="49">
    <w:p w14:paraId="0A3AFC25" w14:textId="320703F0" w:rsidR="00D64030" w:rsidRDefault="00D64030">
      <w:pPr>
        <w:pStyle w:val="FootnoteText"/>
      </w:pPr>
      <w:r w:rsidRPr="00145161">
        <w:rPr>
          <w:rStyle w:val="FootnoteReference"/>
        </w:rPr>
        <w:footnoteRef/>
      </w:r>
      <w:r>
        <w:t xml:space="preserve"> Shu’t Tza</w:t>
      </w:r>
      <w:r w:rsidRPr="00145161">
        <w:t>fnas Pa’aneach Siman 26-27</w:t>
      </w:r>
      <w:r>
        <w:t>. The wording of the Rogatchover is enigmatic and somewhat difficult to understand. I am assuming the summaries provided by the Seridei Eish cited above, R’ Shiloh Raphael (Mishkan Shilo) cited in R’ Shlomo Dichovsky in Techumin 27, and R’ Zevin in Ishim V’Shitos p124-5.</w:t>
      </w:r>
    </w:p>
  </w:footnote>
  <w:footnote w:id="50">
    <w:p w14:paraId="13E7BBEF" w14:textId="2FF3A824" w:rsidR="00D64030" w:rsidRDefault="00D64030">
      <w:pPr>
        <w:pStyle w:val="FootnoteText"/>
      </w:pPr>
      <w:r>
        <w:rPr>
          <w:rStyle w:val="FootnoteReference"/>
        </w:rPr>
        <w:footnoteRef/>
      </w:r>
      <w:r>
        <w:t xml:space="preserve"> 13b ‘</w:t>
      </w:r>
      <w:r>
        <w:rPr>
          <w:i/>
          <w:iCs/>
        </w:rPr>
        <w:t>l’chulei alma b’a</w:t>
      </w:r>
      <w:r w:rsidRPr="00D64030">
        <w:rPr>
          <w:i/>
          <w:iCs/>
        </w:rPr>
        <w:t>seh</w:t>
      </w:r>
      <w:r>
        <w:t>’</w:t>
      </w:r>
    </w:p>
  </w:footnote>
  <w:footnote w:id="51">
    <w:p w14:paraId="3C2184E9" w14:textId="0BB95D9A" w:rsidR="00D64030" w:rsidRDefault="00D64030" w:rsidP="00D64030">
      <w:pPr>
        <w:pStyle w:val="FootnoteText"/>
      </w:pPr>
      <w:r>
        <w:rPr>
          <w:rStyle w:val="FootnoteReference"/>
        </w:rPr>
        <w:footnoteRef/>
      </w:r>
      <w:r>
        <w:t xml:space="preserve"> As opposed to Rashi there, ‘l</w:t>
      </w:r>
      <w:r w:rsidRPr="00D64030">
        <w:rPr>
          <w:i/>
          <w:iCs/>
        </w:rPr>
        <w:t xml:space="preserve">’chulei </w:t>
      </w:r>
      <w:r>
        <w:rPr>
          <w:i/>
          <w:iCs/>
        </w:rPr>
        <w:t>a</w:t>
      </w:r>
      <w:r w:rsidRPr="00D64030">
        <w:rPr>
          <w:i/>
          <w:iCs/>
        </w:rPr>
        <w:t xml:space="preserve">lma </w:t>
      </w:r>
      <w:r>
        <w:rPr>
          <w:i/>
          <w:iCs/>
        </w:rPr>
        <w:t>b</w:t>
      </w:r>
      <w:r w:rsidRPr="00D64030">
        <w:rPr>
          <w:i/>
          <w:iCs/>
        </w:rPr>
        <w:t>’</w:t>
      </w:r>
      <w:r>
        <w:rPr>
          <w:i/>
          <w:iCs/>
        </w:rPr>
        <w:t>a</w:t>
      </w:r>
      <w:r w:rsidRPr="00D64030">
        <w:rPr>
          <w:i/>
          <w:iCs/>
        </w:rPr>
        <w:t>seh</w:t>
      </w:r>
      <w:r>
        <w:t>’</w:t>
      </w:r>
    </w:p>
  </w:footnote>
  <w:footnote w:id="52">
    <w:p w14:paraId="6CF4A440" w14:textId="77777777" w:rsidR="00D64030" w:rsidRDefault="00D64030">
      <w:pPr>
        <w:pStyle w:val="FootnoteText"/>
      </w:pPr>
      <w:r>
        <w:rPr>
          <w:rStyle w:val="FootnoteReference"/>
        </w:rPr>
        <w:footnoteRef/>
      </w:r>
      <w:r>
        <w:t xml:space="preserve"> Bereishis 2;24</w:t>
      </w:r>
    </w:p>
  </w:footnote>
  <w:footnote w:id="53">
    <w:p w14:paraId="004E21A4" w14:textId="77777777" w:rsidR="00D64030" w:rsidRDefault="00D64030">
      <w:pPr>
        <w:pStyle w:val="FootnoteText"/>
      </w:pPr>
      <w:r>
        <w:rPr>
          <w:rStyle w:val="FootnoteReference"/>
        </w:rPr>
        <w:footnoteRef/>
      </w:r>
      <w:r>
        <w:t xml:space="preserve"> Akin to the pre-</w:t>
      </w:r>
      <w:r w:rsidRPr="00096EDE">
        <w:rPr>
          <w:i/>
          <w:iCs/>
        </w:rPr>
        <w:t>Matan Torah</w:t>
      </w:r>
      <w:r>
        <w:t xml:space="preserve"> model of marriage as described by the Rambam at the very beginning of </w:t>
      </w:r>
      <w:r w:rsidRPr="00DF61E4">
        <w:t>Hilchos Ishu</w:t>
      </w:r>
      <w:r w:rsidRPr="00096EDE">
        <w:rPr>
          <w:i/>
          <w:iCs/>
        </w:rPr>
        <w:t>s</w:t>
      </w:r>
    </w:p>
  </w:footnote>
  <w:footnote w:id="54">
    <w:p w14:paraId="506D43C1" w14:textId="77777777" w:rsidR="00D64030" w:rsidRDefault="00D64030">
      <w:pPr>
        <w:pStyle w:val="FootnoteText"/>
      </w:pPr>
      <w:r>
        <w:rPr>
          <w:rStyle w:val="FootnoteReference"/>
        </w:rPr>
        <w:footnoteRef/>
      </w:r>
      <w:r>
        <w:t xml:space="preserve"> R’ Zevin in Ishim V’Shitos p.124 cites the four places where the Rogatchover deals with civil marriage and this represents one of the reasons for him being </w:t>
      </w:r>
      <w:r w:rsidRPr="00096EDE">
        <w:rPr>
          <w:i/>
          <w:iCs/>
        </w:rPr>
        <w:t>machmir</w:t>
      </w:r>
    </w:p>
  </w:footnote>
  <w:footnote w:id="55">
    <w:p w14:paraId="0ACD1F48" w14:textId="5FD6D038" w:rsidR="00D64030" w:rsidRDefault="00D64030">
      <w:pPr>
        <w:pStyle w:val="FootnoteText"/>
      </w:pPr>
      <w:r>
        <w:rPr>
          <w:rStyle w:val="FootnoteReference"/>
        </w:rPr>
        <w:footnoteRef/>
      </w:r>
      <w:r>
        <w:t xml:space="preserve"> Shu’t Tzitz Eliezer 2:19 (second half of the </w:t>
      </w:r>
      <w:r w:rsidRPr="00096EDE">
        <w:rPr>
          <w:i/>
          <w:iCs/>
        </w:rPr>
        <w:t>kuntras</w:t>
      </w:r>
      <w:r>
        <w:t>)</w:t>
      </w:r>
    </w:p>
  </w:footnote>
  <w:footnote w:id="56">
    <w:p w14:paraId="7A35B8B0" w14:textId="2E94F0D6" w:rsidR="00D64030" w:rsidRDefault="00D64030" w:rsidP="00DF61E4">
      <w:pPr>
        <w:pStyle w:val="FootnoteText"/>
      </w:pPr>
      <w:r>
        <w:rPr>
          <w:rStyle w:val="FootnoteReference"/>
        </w:rPr>
        <w:footnoteRef/>
      </w:r>
      <w:r>
        <w:t xml:space="preserve"> Ibid. The Rambam is at the beginning of Hilchos Ishus, as mentioned above, where he states a clear divergence between how marriage took place before and after the Torah was given</w:t>
      </w:r>
    </w:p>
  </w:footnote>
  <w:footnote w:id="57">
    <w:p w14:paraId="79FB263B" w14:textId="77777777" w:rsidR="00D64030" w:rsidRDefault="00D64030">
      <w:pPr>
        <w:pStyle w:val="FootnoteText"/>
      </w:pPr>
      <w:r>
        <w:rPr>
          <w:rStyle w:val="FootnoteReference"/>
        </w:rPr>
        <w:footnoteRef/>
      </w:r>
      <w:r>
        <w:t xml:space="preserve"> Techumin 2, p.260</w:t>
      </w:r>
    </w:p>
  </w:footnote>
  <w:footnote w:id="58">
    <w:p w14:paraId="32F68DA9" w14:textId="397A82B6" w:rsidR="00D64030" w:rsidRDefault="00D64030" w:rsidP="00DF61E4">
      <w:pPr>
        <w:pStyle w:val="FootnoteText"/>
      </w:pPr>
      <w:r>
        <w:rPr>
          <w:rStyle w:val="FootnoteReference"/>
        </w:rPr>
        <w:footnoteRef/>
      </w:r>
      <w:r>
        <w:t xml:space="preserve"> As detailed by R’ Ovadia in the teshuva cited above where he collates the views of the </w:t>
      </w:r>
      <w:r w:rsidRPr="00DF61E4">
        <w:rPr>
          <w:i/>
          <w:iCs/>
        </w:rPr>
        <w:t>achronim</w:t>
      </w:r>
    </w:p>
  </w:footnote>
  <w:footnote w:id="59">
    <w:p w14:paraId="37A55959" w14:textId="77777777" w:rsidR="00D64030" w:rsidRDefault="00D64030">
      <w:pPr>
        <w:pStyle w:val="FootnoteText"/>
      </w:pPr>
      <w:r>
        <w:rPr>
          <w:rStyle w:val="FootnoteReference"/>
        </w:rPr>
        <w:footnoteRef/>
      </w:r>
      <w:r>
        <w:t xml:space="preserve"> In his audio shiur, ‘Contemporary Topics in Even Ha’Ezer 2’, R’ Michoel Zylberman states this to be the position of the RCA Beis Din. Anecdotally, I have been informed that this is also the position of the London Beis Din</w:t>
      </w:r>
    </w:p>
  </w:footnote>
  <w:footnote w:id="60">
    <w:p w14:paraId="5D6173B6" w14:textId="0490422B" w:rsidR="00D64030" w:rsidRDefault="00D64030">
      <w:pPr>
        <w:pStyle w:val="FootnoteText"/>
      </w:pPr>
      <w:r>
        <w:rPr>
          <w:rStyle w:val="FootnoteReference"/>
        </w:rPr>
        <w:footnoteRef/>
      </w:r>
      <w:r>
        <w:t xml:space="preserve"> Igros Moshe Even Ha’Ezer 3:25</w:t>
      </w:r>
    </w:p>
  </w:footnote>
  <w:footnote w:id="61">
    <w:p w14:paraId="7EA0F8C9" w14:textId="2D472218" w:rsidR="00D64030" w:rsidRDefault="00D64030" w:rsidP="00D64030">
      <w:pPr>
        <w:pStyle w:val="FootnoteText"/>
      </w:pPr>
      <w:r>
        <w:rPr>
          <w:rStyle w:val="FootnoteReference"/>
        </w:rPr>
        <w:footnoteRef/>
      </w:r>
      <w:r>
        <w:t xml:space="preserve"> Igros Moshe Even Ha’Ezer 4:46</w:t>
      </w:r>
    </w:p>
  </w:footnote>
  <w:footnote w:id="62">
    <w:p w14:paraId="007537E7" w14:textId="77777777" w:rsidR="00D64030" w:rsidRDefault="00D64030">
      <w:pPr>
        <w:pStyle w:val="FootnoteText"/>
      </w:pPr>
      <w:r>
        <w:rPr>
          <w:rStyle w:val="FootnoteReference"/>
        </w:rPr>
        <w:footnoteRef/>
      </w:r>
      <w:r>
        <w:t xml:space="preserve"> To apply this to a contemporary context, one would need to have a clear idea of the marriage ceremony within each non-Orthodox denomination</w:t>
      </w:r>
    </w:p>
  </w:footnote>
  <w:footnote w:id="63">
    <w:p w14:paraId="2BEE3637" w14:textId="59A0DBD1" w:rsidR="00D64030" w:rsidRDefault="00D64030">
      <w:pPr>
        <w:pStyle w:val="FootnoteText"/>
      </w:pPr>
      <w:r>
        <w:rPr>
          <w:rStyle w:val="FootnoteReference"/>
        </w:rPr>
        <w:footnoteRef/>
      </w:r>
      <w:r>
        <w:t xml:space="preserve"> 6a, 6b</w:t>
      </w:r>
    </w:p>
  </w:footnote>
  <w:footnote w:id="64">
    <w:p w14:paraId="6CA2B6A4" w14:textId="37410E95" w:rsidR="00D64030" w:rsidRDefault="00D64030" w:rsidP="00D64030">
      <w:pPr>
        <w:pStyle w:val="FootnoteText"/>
      </w:pPr>
      <w:r>
        <w:rPr>
          <w:rStyle w:val="FootnoteReference"/>
        </w:rPr>
        <w:footnoteRef/>
      </w:r>
      <w:r>
        <w:t xml:space="preserve"> Hilchos Eidus 5:3-4</w:t>
      </w:r>
    </w:p>
  </w:footnote>
  <w:footnote w:id="65">
    <w:p w14:paraId="3945B50A" w14:textId="2531A90A" w:rsidR="00D64030" w:rsidRDefault="00D64030">
      <w:pPr>
        <w:pStyle w:val="FootnoteText"/>
      </w:pPr>
      <w:r>
        <w:rPr>
          <w:rStyle w:val="FootnoteReference"/>
        </w:rPr>
        <w:footnoteRef/>
      </w:r>
      <w:r>
        <w:t xml:space="preserve"> Makkos 1:11 ‘</w:t>
      </w:r>
      <w:r w:rsidRPr="00D64030">
        <w:rPr>
          <w:i/>
          <w:iCs/>
        </w:rPr>
        <w:t>Hilchach</w:t>
      </w:r>
      <w:r>
        <w:t>’</w:t>
      </w:r>
    </w:p>
  </w:footnote>
  <w:footnote w:id="66">
    <w:p w14:paraId="423F21D1" w14:textId="77777777" w:rsidR="00D64030" w:rsidRDefault="00D64030">
      <w:pPr>
        <w:pStyle w:val="FootnoteText"/>
      </w:pPr>
      <w:r>
        <w:rPr>
          <w:rStyle w:val="FootnoteReference"/>
        </w:rPr>
        <w:footnoteRef/>
      </w:r>
      <w:r>
        <w:t xml:space="preserve"> Makkos 6a, ‘</w:t>
      </w:r>
      <w:r w:rsidRPr="00D64030">
        <w:rPr>
          <w:i/>
          <w:iCs/>
        </w:rPr>
        <w:t>Shmuel Omer</w:t>
      </w:r>
      <w:r>
        <w:t>’</w:t>
      </w:r>
    </w:p>
  </w:footnote>
  <w:footnote w:id="67">
    <w:p w14:paraId="0B0118F5" w14:textId="58C35ADE" w:rsidR="00D64030" w:rsidRDefault="00D64030">
      <w:pPr>
        <w:pStyle w:val="FootnoteText"/>
      </w:pPr>
      <w:r>
        <w:rPr>
          <w:rStyle w:val="FootnoteReference"/>
        </w:rPr>
        <w:footnoteRef/>
      </w:r>
      <w:r>
        <w:t xml:space="preserve"> Baba Basra 113b ‘</w:t>
      </w:r>
      <w:r w:rsidR="00DA107D">
        <w:rPr>
          <w:i/>
          <w:iCs/>
        </w:rPr>
        <w:t>Gimmel Shenichn’</w:t>
      </w:r>
      <w:r w:rsidRPr="00DA107D">
        <w:rPr>
          <w:i/>
          <w:iCs/>
        </w:rPr>
        <w:t>su</w:t>
      </w:r>
      <w:r>
        <w:t>’</w:t>
      </w:r>
    </w:p>
  </w:footnote>
  <w:footnote w:id="68">
    <w:p w14:paraId="4427342A" w14:textId="314BC447" w:rsidR="00D64030" w:rsidRDefault="00D64030">
      <w:pPr>
        <w:pStyle w:val="FootnoteText"/>
      </w:pPr>
      <w:r>
        <w:rPr>
          <w:rStyle w:val="FootnoteReference"/>
        </w:rPr>
        <w:footnoteRef/>
      </w:r>
      <w:r w:rsidR="00DA107D">
        <w:t xml:space="preserve"> The Ritva in Makkos 6a ‘</w:t>
      </w:r>
      <w:r w:rsidR="00DA107D" w:rsidRPr="00DA107D">
        <w:rPr>
          <w:i/>
          <w:iCs/>
        </w:rPr>
        <w:t>L’</w:t>
      </w:r>
      <w:r w:rsidRPr="00DA107D">
        <w:rPr>
          <w:i/>
          <w:iCs/>
        </w:rPr>
        <w:t>mechzei Assisun</w:t>
      </w:r>
      <w:r>
        <w:t>’ understands this to be the view of Rashi per footnote 482 in the Mossad HaRav Kook edition</w:t>
      </w:r>
    </w:p>
  </w:footnote>
  <w:footnote w:id="69">
    <w:p w14:paraId="2F08FBD6" w14:textId="4D526A53" w:rsidR="00D64030" w:rsidRDefault="00D64030">
      <w:pPr>
        <w:pStyle w:val="FootnoteText"/>
      </w:pPr>
      <w:r>
        <w:rPr>
          <w:rStyle w:val="FootnoteReference"/>
        </w:rPr>
        <w:footnoteRef/>
      </w:r>
      <w:r>
        <w:t xml:space="preserve"> Hilchos Eidus 5:5</w:t>
      </w:r>
    </w:p>
  </w:footnote>
  <w:footnote w:id="70">
    <w:p w14:paraId="779BEFDA" w14:textId="670D97A7" w:rsidR="00D64030" w:rsidRPr="008F4FCE" w:rsidRDefault="00D64030" w:rsidP="00D64030">
      <w:pPr>
        <w:pStyle w:val="FootnoteText"/>
      </w:pPr>
      <w:r>
        <w:rPr>
          <w:rStyle w:val="FootnoteReference"/>
        </w:rPr>
        <w:footnoteRef/>
      </w:r>
      <w:r>
        <w:t xml:space="preserve"> Choshen Mishpat 36:1. My assumption is that the </w:t>
      </w:r>
      <w:r w:rsidRPr="00096EDE">
        <w:rPr>
          <w:i/>
          <w:iCs/>
        </w:rPr>
        <w:t>hal</w:t>
      </w:r>
      <w:r>
        <w:rPr>
          <w:i/>
          <w:iCs/>
        </w:rPr>
        <w:t>a</w:t>
      </w:r>
      <w:r w:rsidRPr="00096EDE">
        <w:rPr>
          <w:i/>
          <w:iCs/>
        </w:rPr>
        <w:t>cha</w:t>
      </w:r>
      <w:r>
        <w:t xml:space="preserve"> follows the </w:t>
      </w:r>
      <w:r>
        <w:rPr>
          <w:i/>
        </w:rPr>
        <w:t>stam</w:t>
      </w:r>
      <w:r>
        <w:t>.</w:t>
      </w:r>
    </w:p>
  </w:footnote>
  <w:footnote w:id="71">
    <w:p w14:paraId="7A7B488F" w14:textId="77777777" w:rsidR="00DA107D" w:rsidRDefault="00DA107D" w:rsidP="00DA107D">
      <w:pPr>
        <w:pStyle w:val="FootnoteText"/>
      </w:pPr>
      <w:r>
        <w:rPr>
          <w:rStyle w:val="FootnoteReference"/>
        </w:rPr>
        <w:footnoteRef/>
      </w:r>
      <w:r>
        <w:t xml:space="preserve"> See, for instance, Ritva Ibid</w:t>
      </w:r>
    </w:p>
  </w:footnote>
  <w:footnote w:id="72">
    <w:p w14:paraId="1BC8E2E0" w14:textId="2CA17797" w:rsidR="00D64030" w:rsidRDefault="00D64030">
      <w:pPr>
        <w:pStyle w:val="FootnoteText"/>
      </w:pPr>
      <w:r>
        <w:rPr>
          <w:rStyle w:val="FootnoteReference"/>
        </w:rPr>
        <w:footnoteRef/>
      </w:r>
      <w:r w:rsidR="00DA107D">
        <w:t xml:space="preserve"> Even Ha’Ezer 42:</w:t>
      </w:r>
      <w:r>
        <w:t>4-5</w:t>
      </w:r>
    </w:p>
  </w:footnote>
  <w:footnote w:id="73">
    <w:p w14:paraId="04B45A95" w14:textId="77777777" w:rsidR="00D64030" w:rsidRDefault="00D64030">
      <w:pPr>
        <w:pStyle w:val="FootnoteText"/>
      </w:pPr>
      <w:r>
        <w:rPr>
          <w:rStyle w:val="FootnoteReference"/>
        </w:rPr>
        <w:footnoteRef/>
      </w:r>
      <w:r>
        <w:t xml:space="preserve"> A further, obvious consequence of this issue would involve the necessity, or otherwise, to re-perform a wedding ceremony when one or both of the designated witnesses were later ascertained to be unfit for purpose</w:t>
      </w:r>
    </w:p>
  </w:footnote>
  <w:footnote w:id="74">
    <w:p w14:paraId="1603CA3E" w14:textId="76B5153A" w:rsidR="00D64030" w:rsidRDefault="00D64030">
      <w:pPr>
        <w:pStyle w:val="FootnoteText"/>
      </w:pPr>
      <w:r>
        <w:rPr>
          <w:rStyle w:val="FootnoteReference"/>
        </w:rPr>
        <w:footnoteRef/>
      </w:r>
      <w:r w:rsidR="00DA107D">
        <w:t xml:space="preserve"> Even Ha’Ezer 42:</w:t>
      </w:r>
      <w:r>
        <w:t>11</w:t>
      </w:r>
    </w:p>
  </w:footnote>
  <w:footnote w:id="75">
    <w:p w14:paraId="2A726446" w14:textId="77777777" w:rsidR="00D64030" w:rsidRDefault="00D64030">
      <w:pPr>
        <w:pStyle w:val="FootnoteText"/>
      </w:pPr>
      <w:r>
        <w:rPr>
          <w:rStyle w:val="FootnoteReference"/>
        </w:rPr>
        <w:footnoteRef/>
      </w:r>
      <w:r>
        <w:t xml:space="preserve"> Shu’t Chasam Sofer Even Ha’Ezer Siman 100 makes the same connection</w:t>
      </w:r>
    </w:p>
  </w:footnote>
  <w:footnote w:id="76">
    <w:p w14:paraId="017D8A4E" w14:textId="77777777" w:rsidR="00D64030" w:rsidRDefault="00D64030">
      <w:pPr>
        <w:pStyle w:val="FootnoteText"/>
      </w:pPr>
      <w:r>
        <w:rPr>
          <w:rStyle w:val="FootnoteReference"/>
        </w:rPr>
        <w:footnoteRef/>
      </w:r>
      <w:r>
        <w:t xml:space="preserve"> Shu’t Mahari Vayil 7</w:t>
      </w:r>
    </w:p>
  </w:footnote>
  <w:footnote w:id="77">
    <w:p w14:paraId="482F80A4" w14:textId="77777777" w:rsidR="00D64030" w:rsidRDefault="00D64030">
      <w:pPr>
        <w:pStyle w:val="FootnoteText"/>
      </w:pPr>
      <w:r>
        <w:rPr>
          <w:rStyle w:val="FootnoteReference"/>
        </w:rPr>
        <w:footnoteRef/>
      </w:r>
      <w:r>
        <w:t xml:space="preserve"> I have heard R’ Zylberman’s shiur on the topic (quoted above) that R’ Ovadia felt that this position is the halachic norm and anecdotally that R’ Osher Weiss also gives weight to this view.</w:t>
      </w:r>
    </w:p>
  </w:footnote>
  <w:footnote w:id="78">
    <w:p w14:paraId="6166F728" w14:textId="77777777" w:rsidR="00D64030" w:rsidRDefault="00D64030">
      <w:pPr>
        <w:pStyle w:val="FootnoteText"/>
      </w:pPr>
      <w:r>
        <w:rPr>
          <w:rStyle w:val="FootnoteReference"/>
        </w:rPr>
        <w:footnoteRef/>
      </w:r>
      <w:r>
        <w:t xml:space="preserve"> Albeit that </w:t>
      </w:r>
      <w:r w:rsidRPr="00096EDE">
        <w:rPr>
          <w:i/>
          <w:iCs/>
        </w:rPr>
        <w:t>teshuva</w:t>
      </w:r>
      <w:r>
        <w:t xml:space="preserve"> was penned in 1980 and their practises may have since changed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A0496F"/>
    <w:multiLevelType w:val="hybridMultilevel"/>
    <w:tmpl w:val="E2E61C2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D935716"/>
    <w:multiLevelType w:val="hybridMultilevel"/>
    <w:tmpl w:val="F3349A96"/>
    <w:lvl w:ilvl="0" w:tplc="3DB8398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7DB"/>
    <w:rsid w:val="00011A73"/>
    <w:rsid w:val="000174D5"/>
    <w:rsid w:val="0002192F"/>
    <w:rsid w:val="00023569"/>
    <w:rsid w:val="00043851"/>
    <w:rsid w:val="00047763"/>
    <w:rsid w:val="00063379"/>
    <w:rsid w:val="000652E0"/>
    <w:rsid w:val="00080682"/>
    <w:rsid w:val="00096EDE"/>
    <w:rsid w:val="00097527"/>
    <w:rsid w:val="0009769B"/>
    <w:rsid w:val="000A2F59"/>
    <w:rsid w:val="000B2A09"/>
    <w:rsid w:val="000B2C6C"/>
    <w:rsid w:val="000B7213"/>
    <w:rsid w:val="000C03D0"/>
    <w:rsid w:val="000D7B6F"/>
    <w:rsid w:val="000E369B"/>
    <w:rsid w:val="000E4C7E"/>
    <w:rsid w:val="000F0465"/>
    <w:rsid w:val="000F1240"/>
    <w:rsid w:val="000F69F1"/>
    <w:rsid w:val="00104DBE"/>
    <w:rsid w:val="001160FF"/>
    <w:rsid w:val="00117691"/>
    <w:rsid w:val="0013729F"/>
    <w:rsid w:val="00145161"/>
    <w:rsid w:val="00152C34"/>
    <w:rsid w:val="00166027"/>
    <w:rsid w:val="00183B43"/>
    <w:rsid w:val="00187108"/>
    <w:rsid w:val="001A739D"/>
    <w:rsid w:val="001C45AB"/>
    <w:rsid w:val="001C73F7"/>
    <w:rsid w:val="001E0BD7"/>
    <w:rsid w:val="001E764D"/>
    <w:rsid w:val="001F14CB"/>
    <w:rsid w:val="001F15F6"/>
    <w:rsid w:val="001F1A91"/>
    <w:rsid w:val="001F4E75"/>
    <w:rsid w:val="002212CF"/>
    <w:rsid w:val="002225D1"/>
    <w:rsid w:val="00232E58"/>
    <w:rsid w:val="002463BE"/>
    <w:rsid w:val="002545F0"/>
    <w:rsid w:val="00262BC0"/>
    <w:rsid w:val="00262EA1"/>
    <w:rsid w:val="00271ADE"/>
    <w:rsid w:val="00274CCE"/>
    <w:rsid w:val="00277FE5"/>
    <w:rsid w:val="002A74EE"/>
    <w:rsid w:val="002A7540"/>
    <w:rsid w:val="002B0144"/>
    <w:rsid w:val="002B478F"/>
    <w:rsid w:val="002D78A7"/>
    <w:rsid w:val="002E5197"/>
    <w:rsid w:val="00302246"/>
    <w:rsid w:val="00306EB9"/>
    <w:rsid w:val="003319A4"/>
    <w:rsid w:val="00333F2A"/>
    <w:rsid w:val="00337EB9"/>
    <w:rsid w:val="0036314C"/>
    <w:rsid w:val="00363B63"/>
    <w:rsid w:val="003676C1"/>
    <w:rsid w:val="00373072"/>
    <w:rsid w:val="0038277E"/>
    <w:rsid w:val="0039132B"/>
    <w:rsid w:val="00395026"/>
    <w:rsid w:val="003951B4"/>
    <w:rsid w:val="00397FF0"/>
    <w:rsid w:val="003A30C5"/>
    <w:rsid w:val="003A4D2B"/>
    <w:rsid w:val="003C1B0B"/>
    <w:rsid w:val="003C41EF"/>
    <w:rsid w:val="003E13DE"/>
    <w:rsid w:val="003E3A8D"/>
    <w:rsid w:val="003F7C15"/>
    <w:rsid w:val="00415F85"/>
    <w:rsid w:val="0041674C"/>
    <w:rsid w:val="00424FA6"/>
    <w:rsid w:val="0042760A"/>
    <w:rsid w:val="00427D04"/>
    <w:rsid w:val="00433B06"/>
    <w:rsid w:val="00463D7C"/>
    <w:rsid w:val="0047333E"/>
    <w:rsid w:val="004B0FAB"/>
    <w:rsid w:val="004C2D8D"/>
    <w:rsid w:val="004C5744"/>
    <w:rsid w:val="004D0DA4"/>
    <w:rsid w:val="004D0EE9"/>
    <w:rsid w:val="004D4344"/>
    <w:rsid w:val="004D4C52"/>
    <w:rsid w:val="004E2CB7"/>
    <w:rsid w:val="004F1E62"/>
    <w:rsid w:val="004F723D"/>
    <w:rsid w:val="00502168"/>
    <w:rsid w:val="00527377"/>
    <w:rsid w:val="00534CCC"/>
    <w:rsid w:val="0054005D"/>
    <w:rsid w:val="0054389C"/>
    <w:rsid w:val="00544C6C"/>
    <w:rsid w:val="00565A46"/>
    <w:rsid w:val="00572350"/>
    <w:rsid w:val="00584936"/>
    <w:rsid w:val="00595209"/>
    <w:rsid w:val="00596B0F"/>
    <w:rsid w:val="005A4554"/>
    <w:rsid w:val="005A7F60"/>
    <w:rsid w:val="005C3E4B"/>
    <w:rsid w:val="005F3E20"/>
    <w:rsid w:val="00601C48"/>
    <w:rsid w:val="00605330"/>
    <w:rsid w:val="00607FC7"/>
    <w:rsid w:val="00615220"/>
    <w:rsid w:val="0061652D"/>
    <w:rsid w:val="006327E0"/>
    <w:rsid w:val="00635810"/>
    <w:rsid w:val="006465BF"/>
    <w:rsid w:val="006510D1"/>
    <w:rsid w:val="00662D52"/>
    <w:rsid w:val="00662FEE"/>
    <w:rsid w:val="00666A5A"/>
    <w:rsid w:val="0067205F"/>
    <w:rsid w:val="00672E37"/>
    <w:rsid w:val="00677898"/>
    <w:rsid w:val="00684C2D"/>
    <w:rsid w:val="0069094B"/>
    <w:rsid w:val="006B5763"/>
    <w:rsid w:val="006D6334"/>
    <w:rsid w:val="006D6443"/>
    <w:rsid w:val="006E578B"/>
    <w:rsid w:val="006F11F6"/>
    <w:rsid w:val="00700813"/>
    <w:rsid w:val="00710FE4"/>
    <w:rsid w:val="00716CB3"/>
    <w:rsid w:val="00731742"/>
    <w:rsid w:val="007542E6"/>
    <w:rsid w:val="00765687"/>
    <w:rsid w:val="00766668"/>
    <w:rsid w:val="00773B42"/>
    <w:rsid w:val="00785688"/>
    <w:rsid w:val="00786A95"/>
    <w:rsid w:val="007A178E"/>
    <w:rsid w:val="007A1F37"/>
    <w:rsid w:val="007A743E"/>
    <w:rsid w:val="007B0B63"/>
    <w:rsid w:val="007B542D"/>
    <w:rsid w:val="007C1895"/>
    <w:rsid w:val="007C2AC7"/>
    <w:rsid w:val="007F3EC9"/>
    <w:rsid w:val="007F58FB"/>
    <w:rsid w:val="00851D0C"/>
    <w:rsid w:val="00855BB6"/>
    <w:rsid w:val="00866091"/>
    <w:rsid w:val="00870BC1"/>
    <w:rsid w:val="008803E8"/>
    <w:rsid w:val="00882D7C"/>
    <w:rsid w:val="008947CB"/>
    <w:rsid w:val="008A37E1"/>
    <w:rsid w:val="008A641F"/>
    <w:rsid w:val="008B280A"/>
    <w:rsid w:val="008B4D1E"/>
    <w:rsid w:val="008B6FB6"/>
    <w:rsid w:val="008C1F51"/>
    <w:rsid w:val="008D47E9"/>
    <w:rsid w:val="008E003E"/>
    <w:rsid w:val="008F3D6F"/>
    <w:rsid w:val="008F4FCE"/>
    <w:rsid w:val="009037F2"/>
    <w:rsid w:val="00924450"/>
    <w:rsid w:val="009277A0"/>
    <w:rsid w:val="009458DD"/>
    <w:rsid w:val="0095127E"/>
    <w:rsid w:val="00961A80"/>
    <w:rsid w:val="009679C7"/>
    <w:rsid w:val="00967B17"/>
    <w:rsid w:val="0097209B"/>
    <w:rsid w:val="009736CF"/>
    <w:rsid w:val="00973E69"/>
    <w:rsid w:val="00975D47"/>
    <w:rsid w:val="00976688"/>
    <w:rsid w:val="00977D0F"/>
    <w:rsid w:val="0099584C"/>
    <w:rsid w:val="009B046D"/>
    <w:rsid w:val="009B615A"/>
    <w:rsid w:val="009B7EA1"/>
    <w:rsid w:val="009D0709"/>
    <w:rsid w:val="009D47A9"/>
    <w:rsid w:val="009E10BE"/>
    <w:rsid w:val="009E274A"/>
    <w:rsid w:val="009F5C97"/>
    <w:rsid w:val="00A00906"/>
    <w:rsid w:val="00A0566C"/>
    <w:rsid w:val="00A32D5F"/>
    <w:rsid w:val="00A36B91"/>
    <w:rsid w:val="00A410D5"/>
    <w:rsid w:val="00A44365"/>
    <w:rsid w:val="00A449F6"/>
    <w:rsid w:val="00A76CAD"/>
    <w:rsid w:val="00A94405"/>
    <w:rsid w:val="00AA680A"/>
    <w:rsid w:val="00AB4041"/>
    <w:rsid w:val="00AB4CF9"/>
    <w:rsid w:val="00AC3DD4"/>
    <w:rsid w:val="00AD0BC3"/>
    <w:rsid w:val="00AF266B"/>
    <w:rsid w:val="00B050DC"/>
    <w:rsid w:val="00B1334D"/>
    <w:rsid w:val="00B133C2"/>
    <w:rsid w:val="00B2332C"/>
    <w:rsid w:val="00B2558E"/>
    <w:rsid w:val="00B3031A"/>
    <w:rsid w:val="00B527DB"/>
    <w:rsid w:val="00B6227F"/>
    <w:rsid w:val="00B707BC"/>
    <w:rsid w:val="00B779AC"/>
    <w:rsid w:val="00B817C6"/>
    <w:rsid w:val="00B838E8"/>
    <w:rsid w:val="00B9402F"/>
    <w:rsid w:val="00BA4CC2"/>
    <w:rsid w:val="00BC3C5D"/>
    <w:rsid w:val="00BC73C4"/>
    <w:rsid w:val="00BD5002"/>
    <w:rsid w:val="00BE289F"/>
    <w:rsid w:val="00BF4913"/>
    <w:rsid w:val="00BF4C42"/>
    <w:rsid w:val="00C0129F"/>
    <w:rsid w:val="00C12304"/>
    <w:rsid w:val="00C20C31"/>
    <w:rsid w:val="00C25FFD"/>
    <w:rsid w:val="00C26B6D"/>
    <w:rsid w:val="00C36880"/>
    <w:rsid w:val="00C47C80"/>
    <w:rsid w:val="00C64B3D"/>
    <w:rsid w:val="00C87016"/>
    <w:rsid w:val="00C96800"/>
    <w:rsid w:val="00CA69A8"/>
    <w:rsid w:val="00CA7F46"/>
    <w:rsid w:val="00CB34F9"/>
    <w:rsid w:val="00CB3898"/>
    <w:rsid w:val="00CC2F4C"/>
    <w:rsid w:val="00CC38B2"/>
    <w:rsid w:val="00CD0EEA"/>
    <w:rsid w:val="00CD2CDE"/>
    <w:rsid w:val="00CF1E8F"/>
    <w:rsid w:val="00D0349C"/>
    <w:rsid w:val="00D044E9"/>
    <w:rsid w:val="00D051CB"/>
    <w:rsid w:val="00D10F03"/>
    <w:rsid w:val="00D11583"/>
    <w:rsid w:val="00D21869"/>
    <w:rsid w:val="00D256EF"/>
    <w:rsid w:val="00D45676"/>
    <w:rsid w:val="00D479F6"/>
    <w:rsid w:val="00D54E8C"/>
    <w:rsid w:val="00D553EE"/>
    <w:rsid w:val="00D63DAA"/>
    <w:rsid w:val="00D64030"/>
    <w:rsid w:val="00D652FB"/>
    <w:rsid w:val="00D77589"/>
    <w:rsid w:val="00D77C01"/>
    <w:rsid w:val="00D93306"/>
    <w:rsid w:val="00D96F63"/>
    <w:rsid w:val="00DA107D"/>
    <w:rsid w:val="00DA224B"/>
    <w:rsid w:val="00DA7845"/>
    <w:rsid w:val="00DB1DF2"/>
    <w:rsid w:val="00DC7A85"/>
    <w:rsid w:val="00DD1FBA"/>
    <w:rsid w:val="00DE2C60"/>
    <w:rsid w:val="00DE439B"/>
    <w:rsid w:val="00DE780E"/>
    <w:rsid w:val="00DF61E4"/>
    <w:rsid w:val="00E01CA7"/>
    <w:rsid w:val="00E21E84"/>
    <w:rsid w:val="00E301CC"/>
    <w:rsid w:val="00E304ED"/>
    <w:rsid w:val="00E40E3F"/>
    <w:rsid w:val="00E67D06"/>
    <w:rsid w:val="00E77F55"/>
    <w:rsid w:val="00E82750"/>
    <w:rsid w:val="00E9222D"/>
    <w:rsid w:val="00EB28C0"/>
    <w:rsid w:val="00EB2ABE"/>
    <w:rsid w:val="00EC584D"/>
    <w:rsid w:val="00EC64B5"/>
    <w:rsid w:val="00ED36EF"/>
    <w:rsid w:val="00EE304E"/>
    <w:rsid w:val="00EF6F79"/>
    <w:rsid w:val="00F16384"/>
    <w:rsid w:val="00F32037"/>
    <w:rsid w:val="00F6662F"/>
    <w:rsid w:val="00F716E0"/>
    <w:rsid w:val="00F84425"/>
    <w:rsid w:val="00F90CBD"/>
    <w:rsid w:val="00F9339F"/>
    <w:rsid w:val="00FA1C5B"/>
    <w:rsid w:val="00FA3F9B"/>
    <w:rsid w:val="00FB731D"/>
    <w:rsid w:val="00FC2914"/>
    <w:rsid w:val="00FC42B9"/>
    <w:rsid w:val="00FD6C80"/>
    <w:rsid w:val="00FE6DB8"/>
    <w:rsid w:val="00FF4120"/>
    <w:rsid w:val="00FF5E6C"/>
    <w:rsid w:val="00FF77D3"/>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188EB"/>
  <w15:docId w15:val="{8C5AF79C-5364-457F-BAD1-D9870234B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71A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1ADE"/>
    <w:rPr>
      <w:sz w:val="20"/>
      <w:szCs w:val="20"/>
    </w:rPr>
  </w:style>
  <w:style w:type="character" w:styleId="FootnoteReference">
    <w:name w:val="footnote reference"/>
    <w:basedOn w:val="DefaultParagraphFont"/>
    <w:uiPriority w:val="99"/>
    <w:semiHidden/>
    <w:unhideWhenUsed/>
    <w:rsid w:val="00271ADE"/>
    <w:rPr>
      <w:vertAlign w:val="superscript"/>
    </w:rPr>
  </w:style>
  <w:style w:type="paragraph" w:styleId="ListParagraph">
    <w:name w:val="List Paragraph"/>
    <w:basedOn w:val="Normal"/>
    <w:uiPriority w:val="34"/>
    <w:qFormat/>
    <w:rsid w:val="00700813"/>
    <w:pPr>
      <w:ind w:left="720"/>
      <w:contextualSpacing/>
    </w:pPr>
  </w:style>
  <w:style w:type="character" w:styleId="CommentReference">
    <w:name w:val="annotation reference"/>
    <w:basedOn w:val="DefaultParagraphFont"/>
    <w:uiPriority w:val="99"/>
    <w:semiHidden/>
    <w:unhideWhenUsed/>
    <w:rsid w:val="007B542D"/>
    <w:rPr>
      <w:sz w:val="16"/>
      <w:szCs w:val="16"/>
    </w:rPr>
  </w:style>
  <w:style w:type="paragraph" w:styleId="CommentText">
    <w:name w:val="annotation text"/>
    <w:basedOn w:val="Normal"/>
    <w:link w:val="CommentTextChar"/>
    <w:uiPriority w:val="99"/>
    <w:semiHidden/>
    <w:unhideWhenUsed/>
    <w:rsid w:val="007B542D"/>
    <w:pPr>
      <w:spacing w:line="240" w:lineRule="auto"/>
    </w:pPr>
    <w:rPr>
      <w:sz w:val="20"/>
      <w:szCs w:val="20"/>
    </w:rPr>
  </w:style>
  <w:style w:type="character" w:customStyle="1" w:styleId="CommentTextChar">
    <w:name w:val="Comment Text Char"/>
    <w:basedOn w:val="DefaultParagraphFont"/>
    <w:link w:val="CommentText"/>
    <w:uiPriority w:val="99"/>
    <w:semiHidden/>
    <w:rsid w:val="007B542D"/>
    <w:rPr>
      <w:sz w:val="20"/>
      <w:szCs w:val="20"/>
    </w:rPr>
  </w:style>
  <w:style w:type="paragraph" w:styleId="CommentSubject">
    <w:name w:val="annotation subject"/>
    <w:basedOn w:val="CommentText"/>
    <w:next w:val="CommentText"/>
    <w:link w:val="CommentSubjectChar"/>
    <w:uiPriority w:val="99"/>
    <w:semiHidden/>
    <w:unhideWhenUsed/>
    <w:rsid w:val="007B542D"/>
    <w:rPr>
      <w:b/>
      <w:bCs/>
    </w:rPr>
  </w:style>
  <w:style w:type="character" w:customStyle="1" w:styleId="CommentSubjectChar">
    <w:name w:val="Comment Subject Char"/>
    <w:basedOn w:val="CommentTextChar"/>
    <w:link w:val="CommentSubject"/>
    <w:uiPriority w:val="99"/>
    <w:semiHidden/>
    <w:rsid w:val="007B542D"/>
    <w:rPr>
      <w:b/>
      <w:bCs/>
      <w:sz w:val="20"/>
      <w:szCs w:val="20"/>
    </w:rPr>
  </w:style>
  <w:style w:type="paragraph" w:styleId="BalloonText">
    <w:name w:val="Balloon Text"/>
    <w:basedOn w:val="Normal"/>
    <w:link w:val="BalloonTextChar"/>
    <w:uiPriority w:val="99"/>
    <w:semiHidden/>
    <w:unhideWhenUsed/>
    <w:rsid w:val="007B54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542D"/>
    <w:rPr>
      <w:rFonts w:ascii="Segoe UI" w:hAnsi="Segoe UI" w:cs="Segoe UI"/>
      <w:sz w:val="18"/>
      <w:szCs w:val="18"/>
    </w:rPr>
  </w:style>
  <w:style w:type="paragraph" w:styleId="Revision">
    <w:name w:val="Revision"/>
    <w:hidden/>
    <w:uiPriority w:val="99"/>
    <w:semiHidden/>
    <w:rsid w:val="004D0DA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432733">
      <w:bodyDiv w:val="1"/>
      <w:marLeft w:val="0"/>
      <w:marRight w:val="0"/>
      <w:marTop w:val="0"/>
      <w:marBottom w:val="0"/>
      <w:divBdr>
        <w:top w:val="none" w:sz="0" w:space="0" w:color="auto"/>
        <w:left w:val="none" w:sz="0" w:space="0" w:color="auto"/>
        <w:bottom w:val="none" w:sz="0" w:space="0" w:color="auto"/>
        <w:right w:val="none" w:sz="0" w:space="0" w:color="auto"/>
      </w:divBdr>
    </w:div>
    <w:div w:id="541208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53F87B-92E4-4B45-86B3-AF65CA570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894</TotalTime>
  <Pages>10</Pages>
  <Words>3650</Words>
  <Characters>20811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Steinberg, Moshe - RPC Consulting</cp:lastModifiedBy>
  <cp:revision>7</cp:revision>
  <dcterms:created xsi:type="dcterms:W3CDTF">2018-12-25T23:52:00Z</dcterms:created>
  <dcterms:modified xsi:type="dcterms:W3CDTF">2018-12-26T14:47:00Z</dcterms:modified>
</cp:coreProperties>
</file>