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基于深度学习的语音情感识别系统研究与实现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学生姓名：学生51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号：S051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研究主题：语音情感识别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质量等级：答非所问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2024年04月28日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本研究主要介绍了实验室的服务器配置和深度学习环境搭建过程。首先介绍了GPU服务器的硬件配置，然后详细说明了CUDA、cuDNN和PyTorch的安装步骤。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语音情感识别、MFCC、CNN-LSTM、注意力机制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深度学习框架有很多选择，如TensorFlow、PyTorch、Keras等。本研究选择PyTorch作为主要框架，因为其动态图特性便于调试。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环境配置步骤：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1. 安装NVIDIA驱动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2. 安装CUDA 11.3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3. 安装cuDNN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4. 创建conda环境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5. 安装PyTorch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测试环境：GPU: NVIDIA RTX 3090，CUDA版本: 11.3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运行测试代码成功，环境配置完成。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本研究完成了深度学习环境的搭建，为后续研究工作奠定了基础。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