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Multi-Agent Systems; Game Theory and Mechanism Design; Social Choice and Fair Division; Human-AI Collaboration and Mixed Human-Agent Settings; Decision-Making by Artificial Agents and Humans; Modeling and Prediction of Human Behavior; Analysis of Data Science and Machine Learning Workflows; Natural Language Processing and Large Language Models; Computational Analysis of Specialized Text Corpora (Hebrew and rabbinic texts, legal and patent documents); Human-Centered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consultancy: helps organizations identify where AI can solve their hardest problems, then designs and delivers the solution end to end - applied ML, NLP, LLM fine-tuning, RAG, and agentic and multi-agent systems - from proof of concept to production deployment.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>Clients include technology companies looking to integrate AI into their products and workflows, startups,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 churn-prediction system for at-risk maintenance contract renewals, saving the company millions of dollars.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