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My research centers on environments shared by humans and computer agents: how they interact, coordinate, and reach agreements, and how to design agents that act well alongside people. I combine game theory and mechanism design with machine learning to model, predict, and shape behavior in such settings, from joint exploration and negotiation to coalition formation and fair division. I am interested in extending this line to LLM-based agents: learning what an agent should communicate to a human, and how, from human preferences, in mixed human-agent settings such as autonomous and human-driven vehicles.</w:t>
      </w:r>
    </w:p>
    <w:p w14:paraId="424514B5" w14:textId="77777777" w:rsidR="008A7AD0" w:rsidRPr="00F4276E" w:rsidRDefault="008A7AD0" w:rsidP="008A7AD0">
      <w:r>
        <w:rPr>
          <w:rFonts w:ascii="Calibri" w:eastAsia="Calibri" w:hAnsi="Calibri"/>
        </w:rPr>
        <w:t>A related line of work, begun during my postdoc at Carnegie Mellon, studies the people who build AI systems: capturing and modeling the workflows of ML practitioners as they develop machine learning models, and predicting the moments where they get stuck so that tools can offer targeted support.</w:t>
      </w:r>
    </w:p>
    <w:p w14:paraId="424514B5" w14:textId="77777777" w:rsidR="008A7AD0" w:rsidRPr="00F4276E" w:rsidRDefault="008A7AD0" w:rsidP="008A7AD0">
      <w:r>
        <w:rPr>
          <w:rFonts w:ascii="Calibri" w:eastAsia="Calibri" w:hAnsi="Calibri"/>
        </w:rPr>
        <w:t>A third, applied strand of my research uses large language models and modern NLP for text analysis in specialized domains: authorship attribution, automatic citation generation, and semantic cross-referencing of Hebrew and rabbinic texts (with DICTA), and computational analysis of legal and patent text, including textual studies of disparate outcomes in the patent system. Both involve fine-tuning LLMs for prediction, clustering, and semantic analysis of domain-specific corpora.</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developed algorithms for fair division: a general framework for computing envy-free rent divisions that optimize a criterion of social justice, identifying the maximin solution as the fairest. It was validated in a user study with real users of the Spliddit website and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undergraduate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424514B5" w14:textId="77777777" w:rsidR="008A7AD0" w:rsidRPr="00F4276E" w:rsidRDefault="008A7AD0" w:rsidP="008A7AD0">
      <w:r>
        <w:rPr>
          <w:rFonts w:ascii="Calibri" w:eastAsia="Calibri" w:hAnsi="Calibri"/>
        </w:rPr>
        <w:t>Hosted by Prof. Reid Simmons and Dr. Stephanie Rosenthal. 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students in AI and human-computer interaction research. The research was funded by J.P. Morgan, which renewed the award for a second consecutive year based on the project's results.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the center's NLP and LLM research on large collections of Hebrew and rabbinic texts: set the research agenda, design the methods, and take systems from prototype to tools in active use by scholars.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043703EE" w14:textId="77777777" w:rsidR="008A7AD0" w:rsidRPr="00F4276E" w:rsidRDefault="008A7AD0" w:rsidP="008A7AD0">
      <w:pPr>
        <w:numPr>
          <w:ilvl w:val="0"/>
          <w:numId w:val="21"/>
        </w:numPr>
      </w:pPr>
      <w:r>
        <w:rPr>
          <w:rFonts w:ascii="Calibri" w:eastAsia="Calibri" w:hAnsi="Calibri"/>
        </w:rPr>
        <w:t>Document understanding with LLMs: fine-tuned LLMs and trained custom text embeddings with contrastive learning for domain-specific corpora, powering information extraction, semantic search, text similarity, clustering, and question answering over long, complex documents.</w:t>
      </w:r>
    </w:p>
    <w:p w14:paraId="54CCC348" w14:textId="77777777" w:rsidR="008A7AD0" w:rsidRPr="00F4276E" w:rsidRDefault="008A7AD0" w:rsidP="008A7AD0">
      <w:pPr>
        <w:numPr>
          <w:ilvl w:val="0"/>
          <w:numId w:val="21"/>
        </w:numPr>
      </w:pPr>
      <w:r>
        <w:rPr>
          <w:rFonts w:ascii="Calibri" w:eastAsia="Calibri" w:hAnsi="Calibri"/>
        </w:rPr>
        <w:t>Linguistic analysis: built deep-learning models for morphological, syntactic, and semantic analysis of long, complex documents at scale.</w:t>
      </w:r>
    </w:p>
    <w:p w14:paraId="4E6C86FC" w14:textId="77777777" w:rsidR="008A7AD0" w:rsidRPr="00F4276E" w:rsidRDefault="008A7AD0" w:rsidP="008A7AD0">
      <w:pPr>
        <w:numPr>
          <w:ilvl w:val="0"/>
          <w:numId w:val="21"/>
        </w:numPr>
      </w:pPr>
      <w:r>
        <w:rPr>
          <w:rFonts w:ascii="Calibri" w:eastAsia="Calibri" w:hAnsi="Calibri"/>
        </w:rPr>
        <w:t>Infrastructure and deployment: built the end-to-end training and inference pipeline, with tooling to analyze model outcomes and inspect the training process, and deployed the resulting document-understanding systems to production.</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